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b/>
          <w:bCs/>
          <w:sz w:val="56"/>
          <w:szCs w:val="84"/>
          <w:highlight w:val="none"/>
        </w:rPr>
      </w:pPr>
      <w:r>
        <w:rPr>
          <w:rFonts w:ascii="宋体" w:hAnsi="宋体" w:eastAsia="宋体"/>
          <w:b/>
          <w:bCs/>
          <w:sz w:val="56"/>
          <w:szCs w:val="84"/>
          <w:highlight w:val="none"/>
        </w:rPr>
      </w:r>
      <w:r/>
    </w:p>
    <w:p>
      <w:pPr>
        <w:jc w:val="center"/>
        <w:spacing w:line="360" w:lineRule="auto"/>
        <w:widowControl/>
        <w:rPr>
          <w:rFonts w:ascii="宋体" w:hAnsi="宋体" w:eastAsia="宋体"/>
          <w:b/>
          <w:bCs/>
          <w:sz w:val="92"/>
          <w:szCs w:val="92"/>
          <w:highlight w:val="none"/>
        </w:rPr>
      </w:pPr>
      <w:r>
        <w:rPr>
          <w:rFonts w:hint="eastAsia" w:ascii="宋体" w:hAnsi="宋体" w:eastAsia="宋体"/>
          <w:b/>
          <w:sz w:val="92"/>
          <w:szCs w:val="92"/>
          <w:highlight w:val="none"/>
        </w:rPr>
        <w:t xml:space="preserve">苏州相城区政府采购</w:t>
      </w:r>
      <w:r/>
    </w:p>
    <w:p>
      <w:pPr>
        <w:jc w:val="center"/>
        <w:spacing w:line="360" w:lineRule="auto"/>
        <w:widowControl/>
        <w:rPr>
          <w:rFonts w:ascii="宋体" w:hAnsi="宋体" w:eastAsia="宋体"/>
          <w:b/>
          <w:bCs/>
          <w:sz w:val="96"/>
          <w:szCs w:val="84"/>
          <w:highlight w:val="none"/>
        </w:rPr>
      </w:pPr>
      <w:r>
        <w:rPr>
          <w:rFonts w:hint="eastAsia" w:ascii="宋体" w:hAnsi="宋体" w:eastAsia="宋体"/>
          <w:b/>
          <w:bCs/>
          <w:sz w:val="92"/>
          <w:szCs w:val="92"/>
          <w:highlight w:val="none"/>
        </w:rPr>
        <w:t xml:space="preserve">招  标  文  件</w:t>
      </w:r>
      <w:r/>
    </w:p>
    <w:p>
      <w:pPr>
        <w:jc w:val="center"/>
        <w:spacing w:line="360" w:lineRule="auto"/>
        <w:widowControl/>
        <w:rPr>
          <w:rFonts w:ascii="宋体" w:hAnsi="宋体" w:eastAsia="宋体"/>
          <w:b/>
          <w:bCs/>
          <w:sz w:val="56"/>
          <w:szCs w:val="84"/>
          <w:highlight w:val="none"/>
        </w:rPr>
      </w:pP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1571625" cy="159512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571625" cy="1595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3.8pt;height:125.6pt;mso-wrap-distance-left:0.0pt;mso-wrap-distance-top:0.0pt;mso-wrap-distance-right:0.0pt;mso-wrap-distance-bottom:0.0pt;" stroked="f">
                <v:path textboxrect="0,0,0,0"/>
                <v:imagedata r:id="rId10" o:title=""/>
              </v:shape>
            </w:pict>
          </mc:Fallback>
        </mc:AlternateContent>
      </w:r>
      <w:r/>
    </w:p>
    <w:p>
      <w:pPr>
        <w:ind w:left="1680" w:right="840"/>
        <w:spacing w:line="360" w:lineRule="auto"/>
        <w:rPr>
          <w:rFonts w:ascii="宋体" w:hAnsi="宋体" w:eastAsia="宋体"/>
          <w:b/>
          <w:sz w:val="32"/>
          <w:szCs w:val="32"/>
          <w:highlight w:val="none"/>
        </w:rPr>
      </w:pPr>
      <w:r>
        <w:rPr>
          <w:rFonts w:ascii="宋体" w:hAnsi="宋体" w:eastAsia="宋体"/>
          <w:b/>
          <w:sz w:val="32"/>
          <w:szCs w:val="32"/>
          <w:highlight w:val="none"/>
        </w:rPr>
      </w:r>
      <w:r/>
    </w:p>
    <w:p>
      <w:pPr>
        <w:ind w:right="840" w:firstLine="964"/>
        <w:spacing w:line="360" w:lineRule="auto"/>
        <w:rPr>
          <w:rFonts w:hint="eastAsia" w:ascii="宋体" w:hAnsi="宋体" w:eastAsia="宋体"/>
          <w:b/>
          <w:sz w:val="32"/>
          <w:szCs w:val="32"/>
          <w:highlight w:val="none"/>
          <w:lang w:eastAsia="zh-CN"/>
        </w:rPr>
      </w:pPr>
      <w:r>
        <w:rPr>
          <w:rFonts w:hint="eastAsia" w:ascii="宋体" w:hAnsi="宋体" w:eastAsia="宋体"/>
          <w:b/>
          <w:sz w:val="32"/>
          <w:szCs w:val="32"/>
          <w:highlight w:val="none"/>
        </w:rPr>
        <w:t xml:space="preserve">采购编号：</w:t>
      </w:r>
      <w:r>
        <w:rPr>
          <w:rFonts w:hint="eastAsia" w:ascii="宋体" w:hAnsi="宋体" w:eastAsia="宋体"/>
          <w:b/>
          <w:sz w:val="32"/>
          <w:szCs w:val="32"/>
          <w:highlight w:val="none"/>
          <w:lang w:eastAsia="zh-CN"/>
        </w:rPr>
        <w:t xml:space="preserve">JSZC-320507-JHRG-G2025-0006</w:t>
      </w:r>
      <w:r/>
    </w:p>
    <w:p>
      <w:pPr>
        <w:ind w:left="2564" w:right="840" w:hanging="1606"/>
        <w:spacing w:line="360" w:lineRule="auto"/>
        <w:rPr>
          <w:rFonts w:hint="eastAsia" w:ascii="宋体" w:hAnsi="宋体" w:eastAsia="宋体"/>
          <w:b/>
          <w:sz w:val="32"/>
          <w:szCs w:val="32"/>
          <w:highlight w:val="none"/>
          <w:lang w:eastAsia="zh-CN"/>
        </w:rPr>
      </w:pPr>
      <w:r>
        <w:rPr>
          <w:rFonts w:hint="eastAsia" w:ascii="宋体" w:hAnsi="宋体" w:eastAsia="宋体"/>
          <w:b/>
          <w:sz w:val="32"/>
          <w:szCs w:val="32"/>
          <w:highlight w:val="none"/>
        </w:rPr>
        <w:t xml:space="preserve">采购内容：</w:t>
      </w:r>
      <w:r>
        <w:rPr>
          <w:rFonts w:hint="eastAsia" w:ascii="宋体" w:hAnsi="宋体" w:eastAsia="宋体"/>
          <w:b/>
          <w:sz w:val="32"/>
          <w:szCs w:val="32"/>
          <w:highlight w:val="none"/>
          <w:lang w:eastAsia="zh-CN"/>
        </w:rPr>
        <w:t xml:space="preserve">北桥街道消防中队压缩空气泡沫消防车采购</w:t>
      </w:r>
      <w:r/>
    </w:p>
    <w:p>
      <w:pPr>
        <w:ind w:right="840" w:firstLine="964"/>
        <w:spacing w:line="360" w:lineRule="auto"/>
        <w:rPr>
          <w:rFonts w:ascii="宋体" w:hAnsi="宋体" w:eastAsia="宋体"/>
          <w:b/>
          <w:sz w:val="32"/>
          <w:szCs w:val="32"/>
          <w:highlight w:val="none"/>
        </w:rPr>
      </w:pPr>
      <w:r>
        <w:rPr>
          <w:rFonts w:hint="eastAsia" w:ascii="宋体" w:hAnsi="宋体" w:eastAsia="宋体"/>
          <w:b/>
          <w:sz w:val="32"/>
          <w:szCs w:val="32"/>
          <w:highlight w:val="none"/>
        </w:rPr>
        <w:t xml:space="preserve">采购单位：</w:t>
      </w:r>
      <w:r>
        <w:rPr>
          <w:rFonts w:hint="eastAsia" w:ascii="宋体" w:hAnsi="宋体" w:eastAsia="宋体"/>
          <w:b/>
          <w:sz w:val="32"/>
          <w:szCs w:val="32"/>
          <w:highlight w:val="none"/>
          <w:lang w:eastAsia="zh-CN"/>
        </w:rPr>
        <w:t xml:space="preserve">苏州市相城区人民政府北桥街道办事处</w:t>
      </w:r>
      <w:r>
        <w:rPr>
          <w:rFonts w:hint="eastAsia" w:ascii="宋体" w:hAnsi="宋体" w:eastAsia="宋体"/>
          <w:b/>
          <w:sz w:val="32"/>
          <w:szCs w:val="32"/>
          <w:highlight w:val="none"/>
        </w:rPr>
        <w:t xml:space="preserve"> </w:t>
      </w:r>
      <w:r/>
    </w:p>
    <w:p>
      <w:pPr>
        <w:ind w:right="840" w:firstLine="964"/>
        <w:spacing w:line="360" w:lineRule="auto"/>
        <w:rPr>
          <w:rFonts w:ascii="宋体" w:hAnsi="宋体" w:eastAsia="宋体"/>
          <w:b/>
          <w:sz w:val="32"/>
          <w:szCs w:val="32"/>
          <w:highlight w:val="none"/>
        </w:rPr>
      </w:pPr>
      <w:r>
        <w:rPr>
          <w:rFonts w:hint="eastAsia" w:ascii="宋体" w:hAnsi="宋体" w:eastAsia="宋体"/>
          <w:b/>
          <w:sz w:val="32"/>
          <w:szCs w:val="32"/>
          <w:highlight w:val="none"/>
        </w:rPr>
        <w:t xml:space="preserve">采购类别：货物类</w:t>
      </w:r>
      <w:r/>
    </w:p>
    <w:p>
      <w:pPr>
        <w:ind w:right="840" w:firstLine="964"/>
        <w:spacing w:line="360" w:lineRule="auto"/>
        <w:rPr>
          <w:rFonts w:ascii="宋体" w:hAnsi="宋体" w:eastAsia="宋体"/>
          <w:b/>
          <w:sz w:val="32"/>
          <w:szCs w:val="32"/>
          <w:highlight w:val="none"/>
        </w:rPr>
      </w:pPr>
      <w:r>
        <w:rPr>
          <w:rFonts w:hint="eastAsia" w:ascii="宋体" w:hAnsi="宋体" w:eastAsia="宋体"/>
          <w:b/>
          <w:sz w:val="32"/>
          <w:szCs w:val="32"/>
          <w:highlight w:val="none"/>
        </w:rPr>
        <w:t xml:space="preserve">所属行业类别：工业</w:t>
      </w:r>
      <w:r/>
    </w:p>
    <w:p>
      <w:pPr>
        <w:jc w:val="center"/>
        <w:spacing w:line="360" w:lineRule="auto"/>
        <w:rPr>
          <w:rFonts w:ascii="宋体" w:hAnsi="宋体" w:eastAsia="宋体"/>
          <w:b/>
          <w:sz w:val="32"/>
          <w:szCs w:val="32"/>
          <w:highlight w:val="none"/>
        </w:rPr>
      </w:pPr>
      <w:r>
        <w:rPr>
          <w:rFonts w:ascii="宋体" w:hAnsi="宋体" w:eastAsia="宋体"/>
          <w:b/>
          <w:sz w:val="32"/>
          <w:szCs w:val="32"/>
          <w:highlight w:val="none"/>
        </w:rPr>
      </w:r>
      <w:r/>
    </w:p>
    <w:p>
      <w:pPr>
        <w:spacing w:line="360" w:lineRule="auto"/>
        <w:rPr>
          <w:rFonts w:ascii="宋体" w:hAnsi="宋体" w:eastAsia="宋体"/>
          <w:b/>
          <w:sz w:val="32"/>
          <w:highlight w:val="none"/>
        </w:rPr>
      </w:pPr>
      <w:r>
        <w:rPr>
          <w:rFonts w:ascii="宋体" w:hAnsi="宋体" w:eastAsia="宋体"/>
          <w:b/>
          <w:sz w:val="32"/>
          <w:highlight w:val="none"/>
        </w:rPr>
      </w:r>
      <w:r/>
    </w:p>
    <w:p>
      <w:pPr>
        <w:jc w:val="center"/>
        <w:spacing w:line="360" w:lineRule="auto"/>
        <w:rPr>
          <w:rFonts w:hint="eastAsia" w:ascii="宋体" w:hAnsi="宋体" w:eastAsia="宋体"/>
          <w:b/>
          <w:sz w:val="32"/>
          <w:highlight w:val="none"/>
          <w:lang w:eastAsia="zh-CN"/>
        </w:rPr>
      </w:pPr>
      <w:r>
        <w:rPr>
          <w:rFonts w:hint="eastAsia" w:ascii="宋体" w:hAnsi="宋体" w:eastAsia="宋体"/>
          <w:b/>
          <w:sz w:val="32"/>
          <w:highlight w:val="none"/>
          <w:lang w:eastAsia="zh-CN"/>
        </w:rPr>
        <w:t xml:space="preserve">苏州嘉泓瑞项目管理咨询有限公司</w:t>
      </w:r>
      <w:r/>
    </w:p>
    <w:p>
      <w:pPr>
        <w:jc w:val="center"/>
        <w:spacing w:line="360" w:lineRule="auto"/>
        <w:rPr>
          <w:rFonts w:ascii="宋体" w:hAnsi="宋体" w:eastAsia="宋体"/>
          <w:b/>
          <w:sz w:val="32"/>
          <w:highlight w:val="none"/>
        </w:rPr>
      </w:pPr>
      <w:r>
        <w:rPr>
          <w:rFonts w:hint="eastAsia" w:ascii="宋体" w:hAnsi="宋体" w:eastAsia="宋体"/>
          <w:b/>
          <w:sz w:val="32"/>
          <w:highlight w:val="none"/>
        </w:rPr>
        <w:t xml:space="preserve">二○二五年</w:t>
      </w:r>
      <w:r>
        <w:rPr>
          <w:rFonts w:hint="eastAsia" w:ascii="宋体" w:hAnsi="宋体" w:eastAsia="宋体"/>
          <w:b/>
          <w:sz w:val="32"/>
          <w:highlight w:val="none"/>
          <w:lang w:val="en-US" w:eastAsia="zh-CN"/>
        </w:rPr>
        <w:t xml:space="preserve">十</w:t>
      </w:r>
      <w:r>
        <w:rPr>
          <w:rFonts w:hint="eastAsia" w:ascii="宋体" w:hAnsi="宋体" w:eastAsia="宋体"/>
          <w:b/>
          <w:sz w:val="32"/>
          <w:highlight w:val="none"/>
          <w:lang w:val="en-US" w:eastAsia="zh-CN"/>
        </w:rPr>
        <w:t xml:space="preserve">二</w:t>
      </w:r>
      <w:r>
        <w:rPr>
          <w:rFonts w:hint="eastAsia" w:ascii="宋体" w:hAnsi="宋体" w:eastAsia="宋体"/>
          <w:b/>
          <w:sz w:val="32"/>
          <w:highlight w:val="none"/>
        </w:rPr>
        <w:t xml:space="preserve">月</w:t>
      </w:r>
      <w:r/>
    </w:p>
    <w:p>
      <w:pPr>
        <w:jc w:val="center"/>
        <w:spacing w:line="360" w:lineRule="auto"/>
        <w:rPr>
          <w:rFonts w:ascii="宋体" w:hAnsi="宋体" w:eastAsia="宋体"/>
          <w:b/>
          <w:sz w:val="32"/>
          <w:szCs w:val="32"/>
          <w:highlight w:val="none"/>
        </w:rPr>
        <w:outlineLvl w:val="0"/>
      </w:pPr>
      <w:r>
        <w:rPr>
          <w:rFonts w:hint="eastAsia" w:ascii="宋体" w:hAnsi="宋体" w:eastAsia="宋体"/>
          <w:sz w:val="32"/>
          <w:szCs w:val="32"/>
          <w:highlight w:val="none"/>
        </w:rPr>
        <w:br w:type="page" w:clear="all"/>
      </w:r>
      <w:bookmarkStart w:id="0" w:name="_Toc492294162"/>
      <w:r>
        <w:rPr>
          <w:rFonts w:hint="eastAsia" w:ascii="宋体" w:hAnsi="宋体" w:eastAsia="宋体"/>
          <w:b/>
          <w:sz w:val="32"/>
          <w:szCs w:val="32"/>
          <w:highlight w:val="none"/>
        </w:rPr>
        <w:t xml:space="preserve">前附表</w:t>
      </w:r>
      <w:bookmarkEnd w:id="0"/>
      <w:r/>
      <w:r/>
    </w:p>
    <w:tbl>
      <w:tblPr>
        <w:tblStyle w:val="701"/>
        <w:tblW w:w="995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4"/>
        <w:gridCol w:w="1647"/>
        <w:gridCol w:w="7580"/>
      </w:tblGrid>
      <w:tr>
        <w:trPr>
          <w:jc w:val="center"/>
          <w:trHeight w:val="340"/>
          <w:tblHeader/>
        </w:trPr>
        <w:tc>
          <w:tcPr>
            <w:tcW w:w="724" w:type="dxa"/>
            <w:vAlign w:val="center"/>
            <w:textDirection w:val="lrTb"/>
            <w:noWrap w:val="false"/>
          </w:tcPr>
          <w:p>
            <w:pPr>
              <w:jc w:val="center"/>
              <w:spacing w:line="320" w:lineRule="exact"/>
              <w:rPr>
                <w:rFonts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序号</w:t>
            </w:r>
            <w:r/>
          </w:p>
        </w:tc>
        <w:tc>
          <w:tcPr>
            <w:tcW w:w="1647" w:type="dxa"/>
            <w:vAlign w:val="center"/>
            <w:textDirection w:val="lrTb"/>
            <w:noWrap w:val="false"/>
          </w:tcPr>
          <w:p>
            <w:pPr>
              <w:jc w:val="center"/>
              <w:spacing w:line="320" w:lineRule="exact"/>
              <w:rPr>
                <w:rFonts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名  称</w:t>
            </w:r>
            <w:r/>
          </w:p>
        </w:tc>
        <w:tc>
          <w:tcPr>
            <w:tcW w:w="7580" w:type="dxa"/>
            <w:vAlign w:val="center"/>
            <w:textDirection w:val="lrTb"/>
            <w:noWrap w:val="false"/>
          </w:tcPr>
          <w:p>
            <w:pPr>
              <w:jc w:val="center"/>
              <w:spacing w:line="320" w:lineRule="exact"/>
              <w:rPr>
                <w:rFonts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内      容</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w:t>
            </w:r>
            <w:r/>
          </w:p>
        </w:tc>
        <w:tc>
          <w:tcPr>
            <w:tcW w:w="1647" w:type="dxa"/>
            <w:vAlign w:val="center"/>
            <w:textDirection w:val="lrTb"/>
            <w:noWrap w:val="false"/>
          </w:tcPr>
          <w:p>
            <w:pPr>
              <w:spacing w:line="320" w:lineRule="exact"/>
              <w:rPr>
                <w:rFonts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招标编号</w:t>
            </w:r>
            <w:r/>
          </w:p>
        </w:tc>
        <w:tc>
          <w:tcPr>
            <w:tcW w:w="7580" w:type="dxa"/>
            <w:vAlign w:val="center"/>
            <w:textDirection w:val="lrTb"/>
            <w:noWrap w:val="false"/>
          </w:tcPr>
          <w:p>
            <w:pPr>
              <w:spacing w:line="320" w:lineRule="exact"/>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JSZC-320507-JHRG-G2025-0006</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2</w:t>
            </w:r>
            <w:r/>
          </w:p>
        </w:tc>
        <w:tc>
          <w:tcPr>
            <w:tcW w:w="1647" w:type="dxa"/>
            <w:vAlign w:val="center"/>
            <w:textDirection w:val="lrTb"/>
            <w:noWrap w:val="false"/>
          </w:tcPr>
          <w:p>
            <w:pPr>
              <w:spacing w:line="320" w:lineRule="exact"/>
              <w:rPr>
                <w:rFonts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招标内容</w:t>
            </w:r>
            <w:r/>
          </w:p>
        </w:tc>
        <w:tc>
          <w:tcPr>
            <w:tcW w:w="7580" w:type="dxa"/>
            <w:vAlign w:val="center"/>
            <w:textDirection w:val="lrTb"/>
            <w:noWrap w:val="false"/>
          </w:tcPr>
          <w:p>
            <w:pPr>
              <w:spacing w:line="320" w:lineRule="exact"/>
              <w:rPr>
                <w:rFonts w:hint="eastAsia" w:ascii="宋体" w:hAnsi="宋体" w:eastAsia="宋体" w:cs="宋体"/>
                <w:sz w:val="21"/>
                <w:szCs w:val="21"/>
                <w:highlight w:val="none"/>
                <w:lang w:eastAsia="zh-CN"/>
              </w:rPr>
            </w:pPr>
            <w:r>
              <w:rPr>
                <w:rFonts w:hint="eastAsia" w:ascii="宋体" w:hAnsi="宋体" w:eastAsia="宋体" w:cs="宋体"/>
                <w:bCs/>
                <w:sz w:val="21"/>
                <w:szCs w:val="21"/>
                <w:highlight w:val="none"/>
                <w:lang w:eastAsia="zh-CN"/>
              </w:rPr>
              <w:t xml:space="preserve">北桥街道消防中队压缩空气泡沫消防车采购</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3</w:t>
            </w:r>
            <w:r/>
          </w:p>
        </w:tc>
        <w:tc>
          <w:tcPr>
            <w:tcW w:w="1647" w:type="dxa"/>
            <w:vAlign w:val="center"/>
            <w:textDirection w:val="lrTb"/>
            <w:noWrap w:val="false"/>
          </w:tcPr>
          <w:p>
            <w:pPr>
              <w:ind w:left="105" w:hanging="105"/>
              <w:spacing w:line="32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招标单位</w:t>
            </w:r>
            <w:r/>
          </w:p>
        </w:tc>
        <w:tc>
          <w:tcPr>
            <w:tcW w:w="7580" w:type="dxa"/>
            <w:vAlign w:val="center"/>
            <w:textDirection w:val="lrTb"/>
            <w:noWrap w:val="false"/>
          </w:tcPr>
          <w:p>
            <w:pPr>
              <w:spacing w:line="320" w:lineRule="exact"/>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名  称：</w:t>
            </w:r>
            <w:r>
              <w:rPr>
                <w:rFonts w:hint="eastAsia" w:ascii="宋体" w:hAnsi="宋体" w:eastAsia="宋体" w:cs="宋体"/>
                <w:bCs/>
                <w:sz w:val="21"/>
                <w:szCs w:val="21"/>
                <w:highlight w:val="none"/>
                <w:lang w:eastAsia="zh-CN"/>
              </w:rPr>
              <w:t xml:space="preserve">苏州市相城区人民政府北桥街道办事处</w:t>
            </w:r>
            <w:r/>
          </w:p>
          <w:p>
            <w:pPr>
              <w:spacing w:line="32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地  址：</w:t>
            </w:r>
            <w:r>
              <w:rPr>
                <w:rFonts w:ascii="Segoe UI" w:hAnsi="Segoe UI" w:eastAsia="Segoe UI" w:cs="Segoe UI"/>
                <w:i w:val="0"/>
                <w:iCs w:val="0"/>
                <w:caps w:val="0"/>
                <w:spacing w:val="0"/>
                <w:sz w:val="21"/>
                <w:szCs w:val="21"/>
                <w:highlight w:val="none"/>
                <w:shd w:val="clear" w:color="auto" w:fill="fafafa"/>
              </w:rPr>
              <w:t xml:space="preserve">苏州市相城区北桥街道上塘街</w:t>
            </w:r>
            <w:r/>
          </w:p>
          <w:p>
            <w:pPr>
              <w:spacing w:line="32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联系人：</w:t>
            </w:r>
            <w:r>
              <w:rPr>
                <w:rFonts w:ascii="Segoe UI" w:hAnsi="Segoe UI" w:eastAsia="Segoe UI" w:cs="Segoe UI"/>
                <w:i w:val="0"/>
                <w:iCs w:val="0"/>
                <w:caps w:val="0"/>
                <w:spacing w:val="0"/>
                <w:sz w:val="21"/>
                <w:szCs w:val="21"/>
                <w:highlight w:val="none"/>
              </w:rPr>
              <w:t xml:space="preserve">朱亦青</w:t>
            </w:r>
            <w:r/>
          </w:p>
          <w:p>
            <w:pPr>
              <w:spacing w:line="320" w:lineRule="exact"/>
              <w:rPr>
                <w:rFonts w:ascii="宋体" w:hAnsi="宋体" w:eastAsia="宋体"/>
                <w:highlight w:val="none"/>
              </w:rPr>
            </w:pPr>
            <w:r>
              <w:rPr>
                <w:rFonts w:hint="eastAsia" w:ascii="宋体" w:hAnsi="宋体" w:eastAsia="宋体" w:cs="宋体"/>
                <w:bCs/>
                <w:sz w:val="21"/>
                <w:szCs w:val="21"/>
                <w:highlight w:val="none"/>
              </w:rPr>
              <w:t xml:space="preserve">联系电话：</w:t>
            </w:r>
            <w:r>
              <w:rPr>
                <w:rFonts w:ascii="Segoe UI" w:hAnsi="Segoe UI" w:eastAsia="Segoe UI" w:cs="Segoe UI"/>
                <w:i w:val="0"/>
                <w:iCs w:val="0"/>
                <w:caps w:val="0"/>
                <w:spacing w:val="0"/>
                <w:sz w:val="21"/>
                <w:szCs w:val="21"/>
                <w:highlight w:val="none"/>
                <w:shd w:val="clear" w:color="auto" w:fill="fafafa"/>
              </w:rPr>
              <w:t xml:space="preserve">0512-65412435</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4</w:t>
            </w:r>
            <w:r/>
          </w:p>
        </w:tc>
        <w:tc>
          <w:tcPr>
            <w:tcW w:w="1647" w:type="dxa"/>
            <w:vAlign w:val="center"/>
            <w:textDirection w:val="lrTb"/>
            <w:noWrap w:val="false"/>
          </w:tcPr>
          <w:p>
            <w:pPr>
              <w:spacing w:line="320" w:lineRule="exact"/>
              <w:rPr>
                <w:rFonts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招标代理机构</w:t>
            </w:r>
            <w:r/>
          </w:p>
        </w:tc>
        <w:tc>
          <w:tcPr>
            <w:tcW w:w="7580" w:type="dxa"/>
            <w:vAlign w:val="center"/>
            <w:textDirection w:val="lrTb"/>
            <w:noWrap w:val="false"/>
          </w:tcPr>
          <w:p>
            <w:pPr>
              <w:rPr>
                <w:rFonts w:hint="eastAsia" w:ascii="宋体" w:hAnsi="宋体" w:eastAsia="宋体" w:cs="等线"/>
                <w:sz w:val="21"/>
                <w:szCs w:val="21"/>
                <w:highlight w:val="none"/>
                <w:lang w:eastAsia="zh-CN"/>
              </w:rPr>
            </w:pPr>
            <w:r>
              <w:rPr>
                <w:rFonts w:hint="eastAsia" w:ascii="宋体" w:hAnsi="宋体" w:eastAsia="宋体" w:cs="等线"/>
                <w:sz w:val="21"/>
                <w:szCs w:val="21"/>
                <w:highlight w:val="none"/>
              </w:rPr>
              <w:t xml:space="preserve">名  称：</w:t>
            </w:r>
            <w:r>
              <w:rPr>
                <w:rFonts w:hint="eastAsia" w:ascii="宋体" w:hAnsi="宋体" w:eastAsia="宋体" w:cs="等线"/>
                <w:sz w:val="21"/>
                <w:szCs w:val="21"/>
                <w:highlight w:val="none"/>
                <w:lang w:eastAsia="zh-CN"/>
              </w:rPr>
              <w:t xml:space="preserve">苏州嘉泓瑞项目管理咨询有限公司</w:t>
            </w:r>
            <w:r/>
          </w:p>
          <w:p>
            <w:pPr>
              <w:rPr>
                <w:rFonts w:ascii="宋体" w:hAnsi="宋体" w:eastAsia="宋体" w:cs="等线"/>
                <w:sz w:val="21"/>
                <w:szCs w:val="21"/>
                <w:highlight w:val="none"/>
              </w:rPr>
            </w:pPr>
            <w:r>
              <w:rPr>
                <w:rFonts w:hint="eastAsia" w:ascii="宋体" w:hAnsi="宋体" w:eastAsia="宋体" w:cs="等线"/>
                <w:sz w:val="21"/>
                <w:szCs w:val="21"/>
                <w:highlight w:val="none"/>
              </w:rPr>
              <w:t xml:space="preserve">地  址：苏州市相城区华元路1902号2幢东楼2楼</w:t>
            </w:r>
            <w:r/>
          </w:p>
          <w:p>
            <w:pPr>
              <w:rPr>
                <w:rFonts w:hint="eastAsia" w:ascii="宋体" w:hAnsi="宋体" w:eastAsia="宋体" w:cs="等线"/>
                <w:sz w:val="21"/>
                <w:szCs w:val="21"/>
                <w:highlight w:val="none"/>
                <w:lang w:eastAsia="zh-CN"/>
              </w:rPr>
            </w:pPr>
            <w:r>
              <w:rPr>
                <w:rFonts w:hint="eastAsia" w:ascii="宋体" w:hAnsi="宋体" w:eastAsia="宋体" w:cs="等线"/>
                <w:sz w:val="21"/>
                <w:szCs w:val="21"/>
                <w:highlight w:val="none"/>
              </w:rPr>
              <w:t xml:space="preserve">联系人：</w:t>
            </w:r>
            <w:r>
              <w:rPr>
                <w:rFonts w:hint="eastAsia" w:ascii="宋体" w:hAnsi="宋体" w:eastAsia="宋体" w:cs="等线"/>
                <w:sz w:val="21"/>
                <w:szCs w:val="21"/>
                <w:highlight w:val="none"/>
                <w:lang w:eastAsia="zh-CN"/>
              </w:rPr>
              <w:t xml:space="preserve">刘露冰杰、刘广郑</w:t>
            </w:r>
            <w:r/>
          </w:p>
          <w:p>
            <w:pPr>
              <w:rPr>
                <w:rFonts w:hint="eastAsia" w:ascii="宋体" w:hAnsi="宋体" w:eastAsia="宋体" w:cs="等线"/>
                <w:sz w:val="21"/>
                <w:szCs w:val="21"/>
                <w:highlight w:val="none"/>
                <w:lang w:eastAsia="zh-CN"/>
              </w:rPr>
            </w:pPr>
            <w:r>
              <w:rPr>
                <w:rFonts w:hint="eastAsia" w:ascii="宋体" w:hAnsi="宋体" w:eastAsia="宋体" w:cs="等线"/>
                <w:sz w:val="21"/>
                <w:szCs w:val="21"/>
                <w:highlight w:val="none"/>
              </w:rPr>
              <w:t xml:space="preserve">联系电话：</w:t>
            </w:r>
            <w:r>
              <w:rPr>
                <w:rFonts w:hint="eastAsia" w:ascii="宋体" w:hAnsi="宋体" w:eastAsia="宋体" w:cs="等线"/>
                <w:sz w:val="21"/>
                <w:szCs w:val="21"/>
                <w:highlight w:val="none"/>
                <w:lang w:eastAsia="zh-CN"/>
              </w:rPr>
              <w:t xml:space="preserve">0512-69575388-8001</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5</w:t>
            </w:r>
            <w:r/>
          </w:p>
        </w:tc>
        <w:tc>
          <w:tcPr>
            <w:tcW w:w="1647" w:type="dxa"/>
            <w:vAlign w:val="center"/>
            <w:textDirection w:val="lrTb"/>
            <w:noWrap w:val="false"/>
          </w:tcPr>
          <w:p>
            <w:pPr>
              <w:spacing w:line="320" w:lineRule="exact"/>
              <w:rPr>
                <w:rFonts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投标有效期</w:t>
            </w:r>
            <w:r/>
          </w:p>
        </w:tc>
        <w:tc>
          <w:tcPr>
            <w:tcW w:w="7580" w:type="dxa"/>
            <w:vAlign w:val="center"/>
            <w:textDirection w:val="lrTb"/>
            <w:noWrap w:val="false"/>
          </w:tcPr>
          <w:p>
            <w:pPr>
              <w:spacing w:line="320" w:lineRule="exact"/>
              <w:rPr>
                <w:rFonts w:ascii="宋体" w:hAnsi="宋体" w:eastAsia="宋体" w:cs="宋体"/>
                <w:sz w:val="21"/>
                <w:szCs w:val="21"/>
                <w:highlight w:val="none"/>
                <w:lang w:eastAsia="en-US"/>
              </w:rPr>
            </w:pPr>
            <w:r>
              <w:rPr>
                <w:rFonts w:hint="eastAsia" w:ascii="宋体" w:hAnsi="宋体" w:eastAsia="宋体" w:cs="宋体"/>
                <w:sz w:val="21"/>
                <w:szCs w:val="21"/>
                <w:highlight w:val="none"/>
              </w:rPr>
              <w:t xml:space="preserve">六十</w:t>
            </w:r>
            <w:r>
              <w:rPr>
                <w:rFonts w:hint="eastAsia" w:ascii="宋体" w:hAnsi="宋体" w:eastAsia="宋体" w:cs="宋体"/>
                <w:sz w:val="21"/>
                <w:szCs w:val="21"/>
                <w:highlight w:val="none"/>
                <w:lang w:eastAsia="en-US"/>
              </w:rPr>
              <w:t xml:space="preserve">天（日历天）</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6</w:t>
            </w:r>
            <w:r/>
          </w:p>
        </w:tc>
        <w:tc>
          <w:tcPr>
            <w:tcW w:w="1647" w:type="dxa"/>
            <w:vAlign w:val="center"/>
            <w:textDirection w:val="lrTb"/>
            <w:noWrap w:val="false"/>
          </w:tcPr>
          <w:p>
            <w:pPr>
              <w:spacing w:line="320" w:lineRule="exact"/>
              <w:rPr>
                <w:rFonts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投标保证金</w:t>
            </w:r>
            <w:r/>
          </w:p>
        </w:tc>
        <w:tc>
          <w:tcPr>
            <w:tcW w:w="7580" w:type="dxa"/>
            <w:vAlign w:val="center"/>
            <w:textDirection w:val="lrTb"/>
            <w:noWrap w:val="false"/>
          </w:tcPr>
          <w:p>
            <w:pPr>
              <w:spacing w:line="320" w:lineRule="exact"/>
              <w:rPr>
                <w:rFonts w:ascii="宋体" w:hAnsi="宋体" w:eastAsia="宋体"/>
                <w:sz w:val="21"/>
                <w:szCs w:val="21"/>
                <w:highlight w:val="none"/>
              </w:rPr>
            </w:pPr>
            <w:r>
              <w:rPr>
                <w:rFonts w:hint="eastAsia" w:ascii="宋体" w:hAnsi="宋体" w:eastAsia="宋体"/>
                <w:sz w:val="21"/>
                <w:szCs w:val="21"/>
                <w:highlight w:val="none"/>
              </w:rPr>
              <w:t xml:space="preserve">无</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等线"/>
                <w:position w:val="6"/>
                <w:sz w:val="21"/>
                <w:szCs w:val="21"/>
                <w:highlight w:val="none"/>
              </w:rPr>
            </w:pPr>
            <w:r>
              <w:rPr>
                <w:rFonts w:hint="eastAsia" w:ascii="宋体" w:hAnsi="宋体" w:eastAsia="宋体" w:cs="等线"/>
                <w:sz w:val="21"/>
                <w:szCs w:val="21"/>
                <w:highlight w:val="none"/>
              </w:rPr>
              <w:t xml:space="preserve">7</w:t>
            </w:r>
            <w:r/>
          </w:p>
        </w:tc>
        <w:tc>
          <w:tcPr>
            <w:tcW w:w="1647" w:type="dxa"/>
            <w:vAlign w:val="center"/>
            <w:textDirection w:val="lrTb"/>
            <w:noWrap w:val="false"/>
          </w:tcPr>
          <w:p>
            <w:pPr>
              <w:spacing w:line="320" w:lineRule="exact"/>
              <w:rPr>
                <w:rFonts w:ascii="宋体" w:hAnsi="宋体" w:eastAsia="宋体" w:cs="等线"/>
                <w:position w:val="6"/>
                <w:sz w:val="21"/>
                <w:szCs w:val="21"/>
                <w:highlight w:val="none"/>
              </w:rPr>
            </w:pPr>
            <w:r>
              <w:rPr>
                <w:rFonts w:hint="eastAsia" w:ascii="宋体" w:hAnsi="宋体" w:eastAsia="宋体" w:cs="等线"/>
                <w:sz w:val="21"/>
                <w:szCs w:val="21"/>
                <w:highlight w:val="none"/>
              </w:rPr>
              <w:t xml:space="preserve">报名截止时间</w:t>
            </w:r>
            <w:r/>
          </w:p>
        </w:tc>
        <w:tc>
          <w:tcPr>
            <w:tcW w:w="7580" w:type="dxa"/>
            <w:vAlign w:val="center"/>
            <w:textDirection w:val="lrTb"/>
            <w:noWrap w:val="false"/>
          </w:tcPr>
          <w:p>
            <w:pPr>
              <w:spacing w:line="320" w:lineRule="exact"/>
              <w:rPr>
                <w:rFonts w:ascii="宋体" w:hAnsi="宋体" w:eastAsia="宋体" w:cs="等线"/>
                <w:sz w:val="21"/>
                <w:szCs w:val="21"/>
                <w:highlight w:val="none"/>
              </w:rPr>
            </w:pPr>
            <w:r>
              <w:rPr>
                <w:rFonts w:hint="eastAsia" w:ascii="宋体" w:hAnsi="宋体" w:eastAsia="宋体" w:cs="等线"/>
                <w:sz w:val="21"/>
                <w:szCs w:val="21"/>
                <w:highlight w:val="none"/>
              </w:rPr>
              <w:t xml:space="preserve">202</w:t>
            </w:r>
            <w:r>
              <w:rPr>
                <w:rFonts w:ascii="宋体" w:hAnsi="宋体" w:eastAsia="宋体" w:cs="等线"/>
                <w:sz w:val="21"/>
                <w:szCs w:val="21"/>
                <w:highlight w:val="none"/>
              </w:rPr>
              <w:t xml:space="preserve">5</w:t>
            </w:r>
            <w:r>
              <w:rPr>
                <w:rFonts w:hint="eastAsia" w:ascii="宋体" w:hAnsi="宋体" w:eastAsia="宋体" w:cs="等线"/>
                <w:sz w:val="21"/>
                <w:szCs w:val="21"/>
                <w:highlight w:val="none"/>
              </w:rPr>
              <w:t xml:space="preserve">年</w:t>
            </w:r>
            <w:r>
              <w:rPr>
                <w:rFonts w:hint="eastAsia" w:ascii="宋体" w:hAnsi="宋体" w:eastAsia="宋体" w:cs="等线"/>
                <w:sz w:val="21"/>
                <w:szCs w:val="21"/>
                <w:highlight w:val="none"/>
                <w:lang w:val="en-US" w:eastAsia="zh-CN"/>
              </w:rPr>
              <w:t xml:space="preserve">12</w:t>
            </w:r>
            <w:r>
              <w:rPr>
                <w:rFonts w:hint="eastAsia" w:ascii="宋体" w:hAnsi="宋体" w:eastAsia="宋体" w:cs="等线"/>
                <w:sz w:val="21"/>
                <w:szCs w:val="21"/>
                <w:highlight w:val="none"/>
              </w:rPr>
              <w:t xml:space="preserve">月</w:t>
            </w:r>
            <w:r>
              <w:rPr>
                <w:rFonts w:hint="eastAsia" w:ascii="宋体" w:hAnsi="宋体" w:eastAsia="宋体" w:cs="等线"/>
                <w:sz w:val="21"/>
                <w:szCs w:val="21"/>
                <w:highlight w:val="none"/>
                <w:lang w:val="en-US" w:eastAsia="zh-CN"/>
              </w:rPr>
              <w:t xml:space="preserve">24</w:t>
            </w:r>
            <w:r>
              <w:rPr>
                <w:rFonts w:hint="eastAsia" w:ascii="宋体" w:hAnsi="宋体" w:eastAsia="宋体" w:cs="等线"/>
                <w:sz w:val="21"/>
                <w:szCs w:val="21"/>
                <w:highlight w:val="none"/>
              </w:rPr>
              <w:t xml:space="preserve">日</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等线"/>
                <w:sz w:val="21"/>
                <w:szCs w:val="21"/>
                <w:highlight w:val="none"/>
              </w:rPr>
            </w:pPr>
            <w:r>
              <w:rPr>
                <w:rFonts w:hint="eastAsia" w:ascii="宋体" w:hAnsi="宋体" w:eastAsia="宋体" w:cs="等线"/>
                <w:sz w:val="21"/>
                <w:szCs w:val="21"/>
                <w:highlight w:val="none"/>
              </w:rPr>
              <w:t xml:space="preserve">8</w:t>
            </w:r>
            <w:r/>
          </w:p>
        </w:tc>
        <w:tc>
          <w:tcPr>
            <w:tcW w:w="1647" w:type="dxa"/>
            <w:vAlign w:val="center"/>
            <w:textDirection w:val="lrTb"/>
            <w:noWrap w:val="false"/>
          </w:tcPr>
          <w:p>
            <w:pPr>
              <w:spacing w:line="320" w:lineRule="exact"/>
              <w:rPr>
                <w:rFonts w:ascii="宋体" w:hAnsi="宋体" w:eastAsia="宋体" w:cs="等线"/>
                <w:sz w:val="21"/>
                <w:szCs w:val="21"/>
                <w:highlight w:val="none"/>
              </w:rPr>
            </w:pPr>
            <w:r>
              <w:rPr>
                <w:rFonts w:hint="eastAsia" w:ascii="宋体" w:hAnsi="宋体" w:eastAsia="宋体" w:cs="等线"/>
                <w:sz w:val="21"/>
                <w:szCs w:val="21"/>
                <w:highlight w:val="none"/>
              </w:rPr>
              <w:t xml:space="preserve">投标文件网上</w:t>
            </w:r>
            <w:r/>
          </w:p>
          <w:p>
            <w:pPr>
              <w:spacing w:line="320" w:lineRule="exact"/>
              <w:rPr>
                <w:rFonts w:ascii="宋体" w:hAnsi="宋体" w:eastAsia="宋体" w:cs="等线"/>
                <w:sz w:val="21"/>
                <w:szCs w:val="21"/>
                <w:highlight w:val="none"/>
              </w:rPr>
            </w:pPr>
            <w:r>
              <w:rPr>
                <w:rFonts w:hint="eastAsia" w:ascii="宋体" w:hAnsi="宋体" w:eastAsia="宋体" w:cs="等线"/>
                <w:sz w:val="21"/>
                <w:szCs w:val="21"/>
                <w:highlight w:val="none"/>
              </w:rPr>
              <w:t xml:space="preserve">提交截止时间</w:t>
            </w:r>
            <w:r/>
          </w:p>
        </w:tc>
        <w:tc>
          <w:tcPr>
            <w:tcW w:w="7580" w:type="dxa"/>
            <w:vAlign w:val="center"/>
            <w:textDirection w:val="lrTb"/>
            <w:noWrap w:val="false"/>
          </w:tcPr>
          <w:p>
            <w:pPr>
              <w:spacing w:line="320" w:lineRule="exact"/>
              <w:rPr>
                <w:rFonts w:ascii="宋体" w:hAnsi="宋体" w:eastAsia="宋体" w:cs="等线"/>
                <w:sz w:val="21"/>
                <w:szCs w:val="21"/>
                <w:highlight w:val="none"/>
              </w:rPr>
            </w:pPr>
            <w:r>
              <w:rPr>
                <w:rFonts w:hint="eastAsia" w:ascii="宋体" w:hAnsi="宋体" w:eastAsia="宋体" w:cs="等线"/>
                <w:sz w:val="21"/>
                <w:szCs w:val="21"/>
                <w:highlight w:val="none"/>
                <w:lang w:eastAsia="zh-CN"/>
              </w:rPr>
              <w:t xml:space="preserve">2026年1月8日</w:t>
            </w:r>
            <w:r>
              <w:rPr>
                <w:rFonts w:hint="eastAsia" w:ascii="宋体" w:hAnsi="宋体" w:eastAsia="宋体" w:cs="等线"/>
                <w:sz w:val="21"/>
                <w:szCs w:val="21"/>
                <w:highlight w:val="none"/>
                <w:lang w:val="en-US" w:eastAsia="zh-CN"/>
              </w:rPr>
              <w:t xml:space="preserve">13</w:t>
            </w:r>
            <w:r>
              <w:rPr>
                <w:rFonts w:hint="eastAsia" w:ascii="宋体" w:hAnsi="宋体" w:eastAsia="宋体" w:cs="等线"/>
                <w:sz w:val="21"/>
                <w:szCs w:val="21"/>
                <w:highlight w:val="none"/>
              </w:rPr>
              <w:t xml:space="preserve">点30分（北京时间）</w:t>
            </w:r>
            <w:r/>
          </w:p>
          <w:p>
            <w:pPr>
              <w:spacing w:line="320" w:lineRule="exact"/>
              <w:rPr>
                <w:rFonts w:ascii="宋体" w:hAnsi="宋体" w:eastAsia="宋体" w:cs="等线"/>
                <w:bCs/>
                <w:sz w:val="21"/>
                <w:szCs w:val="21"/>
                <w:highlight w:val="none"/>
              </w:rPr>
            </w:pPr>
            <w:r>
              <w:rPr>
                <w:rFonts w:hint="eastAsia" w:ascii="宋体" w:hAnsi="宋体" w:eastAsia="宋体" w:cs="等线"/>
                <w:sz w:val="21"/>
                <w:szCs w:val="21"/>
                <w:highlight w:val="none"/>
              </w:rPr>
              <w:t xml:space="preserve">投标文件必须在截止时间前完成提交（上传），逾期提交（上传）的投标文件恕不接受。</w:t>
            </w:r>
            <w:r/>
          </w:p>
        </w:tc>
      </w:tr>
      <w:tr>
        <w:trPr>
          <w:jc w:val="center"/>
          <w:trHeight w:val="59"/>
        </w:trPr>
        <w:tc>
          <w:tcPr>
            <w:tcW w:w="724" w:type="dxa"/>
            <w:vAlign w:val="center"/>
            <w:textDirection w:val="lrTb"/>
            <w:noWrap w:val="false"/>
          </w:tcPr>
          <w:p>
            <w:pPr>
              <w:jc w:val="center"/>
              <w:spacing w:line="320" w:lineRule="exact"/>
              <w:rPr>
                <w:rFonts w:ascii="宋体" w:hAnsi="宋体" w:eastAsia="宋体" w:cs="等线"/>
                <w:sz w:val="21"/>
                <w:szCs w:val="21"/>
                <w:highlight w:val="none"/>
              </w:rPr>
            </w:pPr>
            <w:r>
              <w:rPr>
                <w:rFonts w:hint="eastAsia" w:ascii="宋体" w:hAnsi="宋体" w:eastAsia="宋体" w:cs="等线"/>
                <w:sz w:val="21"/>
                <w:szCs w:val="21"/>
                <w:highlight w:val="none"/>
              </w:rPr>
              <w:t xml:space="preserve">9</w:t>
            </w:r>
            <w:r/>
          </w:p>
        </w:tc>
        <w:tc>
          <w:tcPr>
            <w:tcW w:w="1647" w:type="dxa"/>
            <w:vAlign w:val="center"/>
            <w:textDirection w:val="lrTb"/>
            <w:noWrap w:val="false"/>
          </w:tcPr>
          <w:p>
            <w:pPr>
              <w:spacing w:line="320" w:lineRule="exact"/>
              <w:rPr>
                <w:rFonts w:ascii="宋体" w:hAnsi="宋体" w:eastAsia="宋体" w:cs="等线"/>
                <w:sz w:val="21"/>
                <w:szCs w:val="21"/>
                <w:highlight w:val="none"/>
              </w:rPr>
            </w:pPr>
            <w:r>
              <w:rPr>
                <w:rFonts w:hint="eastAsia" w:ascii="宋体" w:hAnsi="宋体" w:eastAsia="宋体" w:cs="等线"/>
                <w:sz w:val="21"/>
                <w:szCs w:val="21"/>
                <w:highlight w:val="none"/>
              </w:rPr>
              <w:t xml:space="preserve">开标时间</w:t>
            </w:r>
            <w:r/>
          </w:p>
          <w:p>
            <w:pPr>
              <w:spacing w:line="320" w:lineRule="exact"/>
              <w:rPr>
                <w:rFonts w:ascii="宋体" w:hAnsi="宋体" w:eastAsia="宋体" w:cs="等线"/>
                <w:sz w:val="21"/>
                <w:szCs w:val="21"/>
                <w:highlight w:val="none"/>
                <w:lang w:eastAsia="en-US"/>
              </w:rPr>
            </w:pPr>
            <w:r>
              <w:rPr>
                <w:rFonts w:hint="eastAsia" w:ascii="宋体" w:hAnsi="宋体" w:eastAsia="宋体" w:cs="等线"/>
                <w:sz w:val="21"/>
                <w:szCs w:val="21"/>
                <w:highlight w:val="none"/>
              </w:rPr>
              <w:t xml:space="preserve">开标地点</w:t>
            </w:r>
            <w:r/>
          </w:p>
        </w:tc>
        <w:tc>
          <w:tcPr>
            <w:tcW w:w="7580" w:type="dxa"/>
            <w:vAlign w:val="center"/>
            <w:textDirection w:val="lrTb"/>
            <w:noWrap w:val="false"/>
          </w:tcPr>
          <w:p>
            <w:pPr>
              <w:spacing w:line="320" w:lineRule="exact"/>
              <w:rPr>
                <w:rFonts w:ascii="宋体" w:hAnsi="宋体" w:eastAsia="宋体" w:cs="等线"/>
                <w:sz w:val="21"/>
                <w:szCs w:val="21"/>
                <w:highlight w:val="none"/>
              </w:rPr>
            </w:pPr>
            <w:r>
              <w:rPr>
                <w:rFonts w:hint="eastAsia" w:ascii="宋体" w:hAnsi="宋体" w:eastAsia="宋体" w:cs="等线"/>
                <w:sz w:val="21"/>
                <w:szCs w:val="21"/>
                <w:highlight w:val="none"/>
                <w:lang w:eastAsia="zh-CN"/>
              </w:rPr>
              <w:t xml:space="preserve">2026年1月8日</w:t>
            </w:r>
            <w:r>
              <w:rPr>
                <w:rFonts w:hint="eastAsia" w:ascii="宋体" w:hAnsi="宋体" w:eastAsia="宋体" w:cs="等线"/>
                <w:sz w:val="21"/>
                <w:szCs w:val="21"/>
                <w:highlight w:val="none"/>
                <w:lang w:val="en-US" w:eastAsia="zh-CN"/>
              </w:rPr>
              <w:t xml:space="preserve">13</w:t>
            </w:r>
            <w:r>
              <w:rPr>
                <w:rFonts w:hint="eastAsia" w:ascii="宋体" w:hAnsi="宋体" w:eastAsia="宋体" w:cs="等线"/>
                <w:sz w:val="21"/>
                <w:szCs w:val="21"/>
                <w:highlight w:val="none"/>
              </w:rPr>
              <w:t xml:space="preserve">点30分（北京时间）</w:t>
            </w:r>
            <w:r/>
          </w:p>
          <w:p>
            <w:pPr>
              <w:spacing w:line="320" w:lineRule="exact"/>
              <w:rPr>
                <w:rFonts w:ascii="宋体" w:hAnsi="宋体" w:eastAsia="宋体" w:cs="等线"/>
                <w:sz w:val="21"/>
                <w:szCs w:val="21"/>
                <w:highlight w:val="none"/>
              </w:rPr>
            </w:pPr>
            <w:r>
              <w:rPr>
                <w:rFonts w:hint="eastAsia" w:ascii="宋体" w:hAnsi="宋体" w:eastAsia="宋体" w:cs="等线"/>
                <w:sz w:val="21"/>
                <w:szCs w:val="21"/>
                <w:highlight w:val="none"/>
              </w:rPr>
              <w:t xml:space="preserve">“苏采云”系统（网址：http://jszfcg.jsczt.cn/）</w:t>
            </w:r>
            <w:r/>
          </w:p>
          <w:p>
            <w:pPr>
              <w:spacing w:line="320" w:lineRule="exact"/>
              <w:rPr>
                <w:rFonts w:ascii="宋体" w:hAnsi="宋体" w:eastAsia="宋体" w:cs="等线"/>
                <w:sz w:val="21"/>
                <w:szCs w:val="21"/>
                <w:highlight w:val="none"/>
              </w:rPr>
            </w:pPr>
            <w:r>
              <w:rPr>
                <w:rFonts w:hint="eastAsia" w:ascii="宋体" w:hAnsi="宋体" w:eastAsia="宋体" w:cs="等线"/>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等线"/>
                <w:sz w:val="21"/>
                <w:szCs w:val="21"/>
                <w:highlight w:val="none"/>
              </w:rPr>
            </w:pPr>
            <w:r>
              <w:rPr>
                <w:rFonts w:hint="eastAsia" w:ascii="宋体" w:hAnsi="宋体" w:eastAsia="宋体" w:cs="等线"/>
                <w:sz w:val="21"/>
                <w:szCs w:val="21"/>
                <w:highlight w:val="none"/>
              </w:rPr>
              <w:t xml:space="preserve">10</w:t>
            </w:r>
            <w:r/>
          </w:p>
        </w:tc>
        <w:tc>
          <w:tcPr>
            <w:tcW w:w="1647" w:type="dxa"/>
            <w:vAlign w:val="center"/>
            <w:textDirection w:val="lrTb"/>
            <w:noWrap w:val="false"/>
          </w:tcPr>
          <w:p>
            <w:pPr>
              <w:spacing w:line="320" w:lineRule="exact"/>
              <w:rPr>
                <w:rFonts w:ascii="宋体" w:hAnsi="宋体" w:eastAsia="宋体" w:cs="等线"/>
                <w:sz w:val="21"/>
                <w:szCs w:val="21"/>
                <w:highlight w:val="none"/>
                <w:lang w:eastAsia="en-US"/>
              </w:rPr>
            </w:pPr>
            <w:r>
              <w:rPr>
                <w:rFonts w:hint="eastAsia" w:ascii="宋体" w:hAnsi="宋体" w:eastAsia="宋体" w:cs="等线"/>
                <w:sz w:val="21"/>
                <w:szCs w:val="21"/>
                <w:highlight w:val="none"/>
              </w:rPr>
              <w:t xml:space="preserve">评标时间</w:t>
            </w:r>
            <w:r/>
          </w:p>
        </w:tc>
        <w:tc>
          <w:tcPr>
            <w:tcW w:w="7580" w:type="dxa"/>
            <w:vAlign w:val="center"/>
            <w:textDirection w:val="lrTb"/>
            <w:noWrap w:val="false"/>
          </w:tcPr>
          <w:p>
            <w:pPr>
              <w:spacing w:line="320" w:lineRule="exact"/>
              <w:rPr>
                <w:rFonts w:ascii="宋体" w:hAnsi="宋体" w:eastAsia="宋体" w:cs="等线"/>
                <w:sz w:val="21"/>
                <w:szCs w:val="21"/>
                <w:highlight w:val="none"/>
              </w:rPr>
            </w:pPr>
            <w:r>
              <w:rPr>
                <w:rFonts w:hint="eastAsia" w:ascii="宋体" w:hAnsi="宋体" w:eastAsia="宋体" w:cs="等线"/>
                <w:sz w:val="21"/>
                <w:szCs w:val="21"/>
                <w:highlight w:val="none"/>
                <w:lang w:eastAsia="zh-CN"/>
              </w:rPr>
              <w:t xml:space="preserve">2026年1月8日</w:t>
            </w:r>
            <w:r>
              <w:rPr>
                <w:rFonts w:hint="eastAsia" w:ascii="宋体" w:hAnsi="宋体" w:eastAsia="宋体" w:cs="等线"/>
                <w:sz w:val="21"/>
                <w:szCs w:val="21"/>
                <w:highlight w:val="none"/>
                <w:lang w:val="en-US" w:eastAsia="zh-CN"/>
              </w:rPr>
              <w:t xml:space="preserve">13</w:t>
            </w:r>
            <w:r>
              <w:rPr>
                <w:rFonts w:hint="eastAsia" w:ascii="宋体" w:hAnsi="宋体" w:eastAsia="宋体" w:cs="等线"/>
                <w:sz w:val="21"/>
                <w:szCs w:val="21"/>
                <w:highlight w:val="none"/>
              </w:rPr>
              <w:t xml:space="preserve">点30分（北京时间）</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等线"/>
                <w:sz w:val="21"/>
                <w:szCs w:val="21"/>
                <w:highlight w:val="none"/>
              </w:rPr>
            </w:pPr>
            <w:r>
              <w:rPr>
                <w:rFonts w:hint="eastAsia" w:ascii="宋体" w:hAnsi="宋体" w:eastAsia="宋体" w:cs="等线"/>
                <w:sz w:val="21"/>
                <w:szCs w:val="21"/>
                <w:highlight w:val="none"/>
              </w:rPr>
              <w:t xml:space="preserve">11</w:t>
            </w:r>
            <w:r/>
          </w:p>
        </w:tc>
        <w:tc>
          <w:tcPr>
            <w:tcW w:w="1647" w:type="dxa"/>
            <w:vAlign w:val="center"/>
            <w:textDirection w:val="lrTb"/>
            <w:noWrap w:val="false"/>
          </w:tcPr>
          <w:p>
            <w:pPr>
              <w:spacing w:line="320" w:lineRule="exact"/>
              <w:rPr>
                <w:rFonts w:ascii="宋体" w:hAnsi="宋体" w:eastAsia="宋体" w:cs="等线"/>
                <w:sz w:val="21"/>
                <w:szCs w:val="21"/>
                <w:highlight w:val="none"/>
                <w:lang w:eastAsia="en-US"/>
              </w:rPr>
            </w:pPr>
            <w:r>
              <w:rPr>
                <w:rFonts w:hint="eastAsia" w:ascii="宋体" w:hAnsi="宋体" w:eastAsia="宋体" w:cs="等线"/>
                <w:sz w:val="21"/>
                <w:szCs w:val="21"/>
                <w:highlight w:val="none"/>
              </w:rPr>
              <w:t xml:space="preserve">投标文件份数</w:t>
            </w:r>
            <w:r/>
          </w:p>
        </w:tc>
        <w:tc>
          <w:tcPr>
            <w:tcW w:w="7580" w:type="dxa"/>
            <w:vAlign w:val="center"/>
            <w:textDirection w:val="lrTb"/>
            <w:noWrap w:val="false"/>
          </w:tcPr>
          <w:p>
            <w:pPr>
              <w:spacing w:line="320" w:lineRule="exact"/>
              <w:tabs>
                <w:tab w:val="left" w:pos="3600" w:leader="none"/>
              </w:tabs>
              <w:rPr>
                <w:rFonts w:ascii="宋体" w:hAnsi="宋体" w:eastAsia="宋体" w:cs="宋体"/>
                <w:sz w:val="21"/>
                <w:szCs w:val="21"/>
                <w:highlight w:val="none"/>
              </w:rPr>
            </w:pPr>
            <w:r>
              <w:rPr>
                <w:rFonts w:hint="eastAsia" w:ascii="宋体" w:hAnsi="宋体" w:eastAsia="宋体" w:cs="宋体"/>
                <w:sz w:val="21"/>
                <w:szCs w:val="21"/>
                <w:highlight w:val="none"/>
              </w:rPr>
              <w:t xml:space="preserve">本项目采用电子投标文件，供应商按照招标文件要求制作上传电子投标文件，供应商中标后需提供与电子投标文件一致的纸质响应文件一正二副。</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等线"/>
                <w:sz w:val="21"/>
                <w:szCs w:val="21"/>
                <w:highlight w:val="none"/>
              </w:rPr>
            </w:pPr>
            <w:r>
              <w:rPr>
                <w:rFonts w:hint="eastAsia" w:ascii="宋体" w:hAnsi="宋体" w:eastAsia="宋体" w:cs="等线"/>
                <w:sz w:val="21"/>
                <w:szCs w:val="21"/>
                <w:highlight w:val="none"/>
              </w:rPr>
              <w:t xml:space="preserve">12</w:t>
            </w:r>
            <w:r/>
          </w:p>
        </w:tc>
        <w:tc>
          <w:tcPr>
            <w:tcW w:w="1647" w:type="dxa"/>
            <w:vAlign w:val="center"/>
            <w:textDirection w:val="lrTb"/>
            <w:noWrap w:val="false"/>
          </w:tcPr>
          <w:p>
            <w:pPr>
              <w:spacing w:line="320" w:lineRule="exact"/>
              <w:rPr>
                <w:rFonts w:ascii="宋体" w:hAnsi="宋体" w:eastAsia="宋体" w:cs="等线"/>
                <w:sz w:val="21"/>
                <w:szCs w:val="21"/>
                <w:highlight w:val="none"/>
                <w:lang w:eastAsia="en-US"/>
              </w:rPr>
            </w:pPr>
            <w:r>
              <w:rPr>
                <w:rFonts w:hint="eastAsia" w:ascii="宋体" w:hAnsi="宋体" w:eastAsia="宋体" w:cs="等线"/>
                <w:sz w:val="21"/>
                <w:szCs w:val="21"/>
                <w:highlight w:val="none"/>
              </w:rPr>
              <w:t xml:space="preserve">投标报价本位币</w:t>
            </w:r>
            <w:r/>
          </w:p>
        </w:tc>
        <w:tc>
          <w:tcPr>
            <w:tcW w:w="7580" w:type="dxa"/>
            <w:vAlign w:val="center"/>
            <w:textDirection w:val="lrTb"/>
            <w:noWrap w:val="false"/>
          </w:tcPr>
          <w:p>
            <w:pPr>
              <w:spacing w:line="320" w:lineRule="exact"/>
              <w:rPr>
                <w:rFonts w:ascii="宋体" w:hAnsi="宋体" w:eastAsia="宋体" w:cs="等线"/>
                <w:sz w:val="21"/>
                <w:szCs w:val="21"/>
                <w:highlight w:val="none"/>
              </w:rPr>
            </w:pPr>
            <w:r>
              <w:rPr>
                <w:rFonts w:hint="eastAsia" w:ascii="宋体" w:hAnsi="宋体" w:eastAsia="宋体" w:cs="等线"/>
                <w:sz w:val="21"/>
                <w:szCs w:val="21"/>
                <w:highlight w:val="none"/>
              </w:rPr>
              <w:t xml:space="preserve">人民币</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等线"/>
                <w:sz w:val="21"/>
                <w:szCs w:val="21"/>
                <w:highlight w:val="none"/>
              </w:rPr>
            </w:pPr>
            <w:r>
              <w:rPr>
                <w:rFonts w:hint="eastAsia" w:ascii="宋体" w:hAnsi="宋体" w:eastAsia="宋体" w:cs="等线"/>
                <w:sz w:val="21"/>
                <w:szCs w:val="21"/>
                <w:highlight w:val="none"/>
              </w:rPr>
              <w:t xml:space="preserve">13</w:t>
            </w:r>
            <w:r/>
          </w:p>
        </w:tc>
        <w:tc>
          <w:tcPr>
            <w:tcW w:w="1647" w:type="dxa"/>
            <w:vAlign w:val="center"/>
            <w:textDirection w:val="lrTb"/>
            <w:noWrap w:val="false"/>
          </w:tcPr>
          <w:p>
            <w:pPr>
              <w:spacing w:line="320" w:lineRule="exact"/>
              <w:rPr>
                <w:rFonts w:ascii="宋体" w:hAnsi="宋体" w:eastAsia="宋体" w:cs="等线"/>
                <w:sz w:val="21"/>
                <w:szCs w:val="21"/>
                <w:highlight w:val="none"/>
                <w:lang w:eastAsia="en-US"/>
              </w:rPr>
            </w:pPr>
            <w:r>
              <w:rPr>
                <w:rFonts w:hint="eastAsia" w:ascii="宋体" w:hAnsi="宋体" w:eastAsia="宋体" w:cs="等线"/>
                <w:sz w:val="21"/>
                <w:szCs w:val="21"/>
                <w:highlight w:val="none"/>
              </w:rPr>
              <w:t xml:space="preserve">履约保证金</w:t>
            </w:r>
            <w:r/>
          </w:p>
        </w:tc>
        <w:tc>
          <w:tcPr>
            <w:tcW w:w="7580" w:type="dxa"/>
            <w:vAlign w:val="center"/>
            <w:textDirection w:val="lrTb"/>
            <w:noWrap w:val="false"/>
          </w:tcPr>
          <w:p>
            <w:pPr>
              <w:spacing w:line="320" w:lineRule="exact"/>
              <w:rPr>
                <w:rFonts w:ascii="宋体" w:hAnsi="宋体" w:eastAsia="宋体" w:cs="等线"/>
                <w:sz w:val="21"/>
                <w:szCs w:val="21"/>
                <w:highlight w:val="none"/>
              </w:rPr>
            </w:pPr>
            <w:r>
              <w:rPr>
                <w:rFonts w:hint="eastAsia" w:ascii="宋体" w:hAnsi="宋体" w:eastAsia="宋体" w:cs="等线"/>
                <w:sz w:val="21"/>
                <w:szCs w:val="21"/>
                <w:highlight w:val="none"/>
              </w:rPr>
              <w:t xml:space="preserve">无</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等线"/>
                <w:sz w:val="21"/>
                <w:szCs w:val="21"/>
                <w:highlight w:val="none"/>
              </w:rPr>
            </w:pPr>
            <w:r>
              <w:rPr>
                <w:rFonts w:hint="eastAsia" w:ascii="宋体" w:hAnsi="宋体" w:eastAsia="宋体" w:cs="等线"/>
                <w:sz w:val="21"/>
                <w:szCs w:val="21"/>
                <w:highlight w:val="none"/>
              </w:rPr>
              <w:t xml:space="preserve">14</w:t>
            </w:r>
            <w:r/>
          </w:p>
        </w:tc>
        <w:tc>
          <w:tcPr>
            <w:tcW w:w="1647" w:type="dxa"/>
            <w:vAlign w:val="center"/>
            <w:textDirection w:val="lrTb"/>
            <w:noWrap w:val="false"/>
          </w:tcPr>
          <w:p>
            <w:pPr>
              <w:spacing w:line="320" w:lineRule="exact"/>
              <w:rPr>
                <w:rFonts w:ascii="宋体" w:hAnsi="宋体" w:eastAsia="宋体" w:cs="等线"/>
                <w:sz w:val="21"/>
                <w:szCs w:val="21"/>
                <w:highlight w:val="none"/>
                <w:lang w:eastAsia="en-US"/>
              </w:rPr>
            </w:pPr>
            <w:r>
              <w:rPr>
                <w:rFonts w:hint="eastAsia" w:ascii="宋体" w:hAnsi="宋体" w:eastAsia="宋体" w:cs="等线"/>
                <w:sz w:val="21"/>
                <w:szCs w:val="21"/>
                <w:highlight w:val="none"/>
              </w:rPr>
              <w:t xml:space="preserve">中标通知书</w:t>
            </w:r>
            <w:r/>
          </w:p>
        </w:tc>
        <w:tc>
          <w:tcPr>
            <w:tcW w:w="7580" w:type="dxa"/>
            <w:vAlign w:val="center"/>
            <w:textDirection w:val="lrTb"/>
            <w:noWrap w:val="false"/>
          </w:tcPr>
          <w:p>
            <w:pPr>
              <w:spacing w:line="320" w:lineRule="exact"/>
              <w:tabs>
                <w:tab w:val="left" w:pos="3600" w:leader="none"/>
              </w:tabs>
              <w:rPr>
                <w:rFonts w:ascii="宋体" w:hAnsi="宋体" w:eastAsia="宋体" w:cs="宋体"/>
                <w:sz w:val="21"/>
                <w:szCs w:val="21"/>
                <w:highlight w:val="none"/>
              </w:rPr>
            </w:pPr>
            <w:r>
              <w:rPr>
                <w:rFonts w:hint="eastAsia" w:ascii="宋体" w:hAnsi="宋体" w:eastAsia="宋体" w:cs="宋体"/>
                <w:sz w:val="21"/>
                <w:szCs w:val="21"/>
                <w:highlight w:val="none"/>
              </w:rPr>
              <w:t xml:space="preserve">确定出中标人后，采购代理机构在法定时间内向中标人发出中标通知书。中标通知书将成为合同的组成部分。</w:t>
            </w:r>
            <w:r/>
          </w:p>
          <w:p>
            <w:pPr>
              <w:spacing w:line="320" w:lineRule="exact"/>
              <w:tabs>
                <w:tab w:val="left" w:pos="3600" w:leader="none"/>
              </w:tabs>
              <w:rPr>
                <w:rFonts w:ascii="宋体" w:hAnsi="宋体" w:eastAsia="宋体" w:cs="宋体"/>
                <w:sz w:val="21"/>
                <w:szCs w:val="21"/>
                <w:highlight w:val="none"/>
              </w:rPr>
            </w:pPr>
            <w:r>
              <w:rPr>
                <w:rFonts w:hint="eastAsia" w:ascii="宋体" w:hAnsi="宋体" w:eastAsia="宋体" w:cs="宋体"/>
                <w:b/>
                <w:bCs/>
                <w:sz w:val="21"/>
                <w:szCs w:val="21"/>
                <w:highlight w:val="none"/>
              </w:rPr>
              <w:t xml:space="preserve">请中标人在中标结果公告届满之日起30日内,使用CA证书登录“苏采云”系统及时下载中标通知书。</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等线"/>
                <w:sz w:val="21"/>
                <w:szCs w:val="21"/>
                <w:highlight w:val="none"/>
              </w:rPr>
            </w:pPr>
            <w:r>
              <w:rPr>
                <w:rFonts w:hint="eastAsia" w:ascii="宋体" w:hAnsi="宋体" w:eastAsia="宋体" w:cs="等线"/>
                <w:sz w:val="21"/>
                <w:szCs w:val="21"/>
                <w:highlight w:val="none"/>
              </w:rPr>
              <w:t xml:space="preserve">15</w:t>
            </w:r>
            <w:r/>
          </w:p>
        </w:tc>
        <w:tc>
          <w:tcPr>
            <w:tcW w:w="1647" w:type="dxa"/>
            <w:vAlign w:val="center"/>
            <w:textDirection w:val="lrTb"/>
            <w:noWrap w:val="false"/>
          </w:tcPr>
          <w:p>
            <w:pPr>
              <w:jc w:val="left"/>
              <w:spacing w:line="320" w:lineRule="exact"/>
              <w:rPr>
                <w:rFonts w:ascii="宋体" w:hAnsi="宋体" w:eastAsia="宋体" w:cs="等线"/>
                <w:sz w:val="21"/>
                <w:szCs w:val="21"/>
                <w:highlight w:val="none"/>
                <w:lang w:eastAsia="en-US"/>
              </w:rPr>
            </w:pPr>
            <w:r>
              <w:rPr>
                <w:rFonts w:hint="eastAsia" w:ascii="宋体" w:hAnsi="宋体" w:eastAsia="宋体" w:cs="等线"/>
                <w:sz w:val="21"/>
                <w:szCs w:val="21"/>
                <w:highlight w:val="none"/>
                <w:lang w:eastAsia="en-US"/>
              </w:rPr>
              <w:t xml:space="preserve">中标服务费</w:t>
            </w:r>
            <w:r/>
          </w:p>
        </w:tc>
        <w:tc>
          <w:tcPr>
            <w:tcW w:w="7580" w:type="dxa"/>
            <w:vAlign w:val="center"/>
            <w:textDirection w:val="lrTb"/>
            <w:noWrap w:val="false"/>
          </w:tcPr>
          <w:p>
            <w:pPr>
              <w:ind w:right="-159"/>
              <w:spacing w:line="320" w:lineRule="exact"/>
              <w:rPr>
                <w:rFonts w:ascii="宋体" w:hAnsi="宋体" w:eastAsia="宋体" w:cs="等线"/>
                <w:sz w:val="21"/>
                <w:szCs w:val="21"/>
                <w:highlight w:val="none"/>
                <w:lang w:val="zh-CN"/>
              </w:rPr>
            </w:pPr>
            <w:r>
              <w:rPr>
                <w:rFonts w:hint="eastAsia" w:ascii="宋体" w:hAnsi="宋体" w:eastAsia="宋体" w:cs="等线"/>
                <w:sz w:val="21"/>
                <w:szCs w:val="21"/>
                <w:highlight w:val="none"/>
                <w:lang w:val="zh-CN"/>
              </w:rPr>
              <w:t xml:space="preserve">领取中标通知书时各标段中标人向采购代理机构一次性付清，代理费为：</w:t>
            </w:r>
            <w:r>
              <w:rPr>
                <w:rFonts w:hint="eastAsia" w:ascii="宋体" w:hAnsi="宋体" w:eastAsia="宋体" w:cs="等线"/>
                <w:sz w:val="21"/>
                <w:szCs w:val="21"/>
                <w:highlight w:val="none"/>
                <w:lang w:val="en-US" w:eastAsia="zh-CN"/>
              </w:rPr>
              <w:t xml:space="preserve">42280.00 元</w:t>
            </w:r>
            <w:r>
              <w:rPr>
                <w:rFonts w:hint="eastAsia" w:ascii="宋体" w:hAnsi="宋体" w:eastAsia="宋体" w:cs="等线"/>
                <w:sz w:val="21"/>
                <w:szCs w:val="21"/>
                <w:highlight w:val="none"/>
                <w:lang w:val="zh-CN"/>
              </w:rPr>
              <w:t xml:space="preserve">（供应商所投报价应当包含该项目代理服务费）：</w:t>
            </w:r>
            <w:r/>
          </w:p>
          <w:p>
            <w:pPr>
              <w:ind w:right="-159"/>
              <w:spacing w:line="320" w:lineRule="exact"/>
              <w:rPr>
                <w:rFonts w:ascii="宋体" w:hAnsi="宋体" w:eastAsia="宋体" w:cs="等线"/>
                <w:sz w:val="21"/>
                <w:szCs w:val="21"/>
                <w:highlight w:val="none"/>
                <w:lang w:val="zh-CN"/>
              </w:rPr>
            </w:pPr>
            <w:r>
              <w:rPr>
                <w:rFonts w:hint="eastAsia" w:ascii="宋体" w:hAnsi="宋体" w:eastAsia="宋体" w:cs="等线"/>
                <w:sz w:val="21"/>
                <w:szCs w:val="21"/>
                <w:highlight w:val="none"/>
                <w:lang w:val="zh-CN"/>
              </w:rPr>
              <w:t xml:space="preserve">预算金额100万以下费率为预算金额的1.5%；预算金额100万（含）-500万费率为预算金额的1.1%；预算金额500万（含）-1000万费率为预算金额的0.8%；1000万元（含）-5000万元费率为预算金额的0.5%，按差额定率累进法计算并支付中标服务费。</w:t>
            </w:r>
            <w:r/>
          </w:p>
          <w:p>
            <w:pPr>
              <w:spacing w:line="320" w:lineRule="exact"/>
              <w:rPr>
                <w:rFonts w:hint="eastAsia" w:ascii="宋体" w:hAnsi="宋体" w:eastAsia="宋体" w:cs="等线"/>
                <w:sz w:val="21"/>
                <w:szCs w:val="21"/>
                <w:highlight w:val="none"/>
                <w:lang w:val="zh-CN"/>
              </w:rPr>
            </w:pPr>
            <w:r>
              <w:rPr>
                <w:rFonts w:hint="eastAsia" w:ascii="宋体" w:hAnsi="宋体" w:eastAsia="宋体" w:cs="等线"/>
                <w:sz w:val="21"/>
                <w:szCs w:val="21"/>
                <w:highlight w:val="none"/>
                <w:lang w:val="zh-CN"/>
              </w:rPr>
              <w:t xml:space="preserve">交纳账户名：苏州嘉泓瑞项目管理咨询有限公司</w:t>
            </w:r>
            <w:r/>
          </w:p>
          <w:p>
            <w:pPr>
              <w:spacing w:line="320" w:lineRule="exact"/>
              <w:rPr>
                <w:rFonts w:hint="eastAsia" w:ascii="宋体" w:hAnsi="宋体" w:eastAsia="宋体" w:cs="等线"/>
                <w:sz w:val="21"/>
                <w:szCs w:val="21"/>
                <w:highlight w:val="none"/>
                <w:lang w:val="zh-CN"/>
              </w:rPr>
            </w:pPr>
            <w:r>
              <w:rPr>
                <w:rFonts w:hint="eastAsia" w:ascii="宋体" w:hAnsi="宋体" w:eastAsia="宋体" w:cs="等线"/>
                <w:sz w:val="21"/>
                <w:szCs w:val="21"/>
                <w:highlight w:val="none"/>
                <w:lang w:val="zh-CN"/>
              </w:rPr>
              <w:t xml:space="preserve">开户银行：中国农业银行股份有限公司苏州元和支行</w:t>
            </w:r>
            <w:r/>
          </w:p>
          <w:p>
            <w:pPr>
              <w:spacing w:line="320" w:lineRule="exact"/>
              <w:rPr>
                <w:rFonts w:ascii="宋体" w:hAnsi="宋体" w:eastAsia="宋体" w:cs="等线"/>
                <w:sz w:val="21"/>
                <w:szCs w:val="21"/>
                <w:highlight w:val="none"/>
              </w:rPr>
            </w:pPr>
            <w:r>
              <w:rPr>
                <w:rFonts w:hint="eastAsia" w:ascii="宋体" w:hAnsi="宋体" w:eastAsia="宋体" w:cs="等线"/>
                <w:sz w:val="21"/>
                <w:szCs w:val="21"/>
                <w:highlight w:val="none"/>
                <w:lang w:val="zh-CN"/>
              </w:rPr>
              <w:t xml:space="preserve">账号：10541101040040448</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等线"/>
                <w:sz w:val="21"/>
                <w:szCs w:val="21"/>
                <w:highlight w:val="none"/>
              </w:rPr>
            </w:pPr>
            <w:r>
              <w:rPr>
                <w:rFonts w:hint="eastAsia" w:ascii="宋体" w:hAnsi="宋体" w:eastAsia="宋体" w:cs="等线"/>
                <w:sz w:val="21"/>
                <w:szCs w:val="21"/>
                <w:highlight w:val="none"/>
              </w:rPr>
              <w:t xml:space="preserve">16</w:t>
            </w:r>
            <w:r/>
          </w:p>
        </w:tc>
        <w:tc>
          <w:tcPr>
            <w:tcW w:w="1647" w:type="dxa"/>
            <w:vAlign w:val="center"/>
            <w:textDirection w:val="lrTb"/>
            <w:noWrap w:val="false"/>
          </w:tcPr>
          <w:p>
            <w:pPr>
              <w:jc w:val="left"/>
              <w:spacing w:line="320" w:lineRule="exact"/>
              <w:rPr>
                <w:rFonts w:ascii="宋体" w:hAnsi="宋体" w:eastAsia="宋体" w:cs="等线"/>
                <w:sz w:val="21"/>
                <w:szCs w:val="21"/>
                <w:highlight w:val="none"/>
              </w:rPr>
            </w:pPr>
            <w:r>
              <w:rPr>
                <w:rFonts w:hint="eastAsia" w:ascii="宋体" w:hAnsi="宋体" w:eastAsia="宋体" w:cs="等线"/>
                <w:sz w:val="21"/>
                <w:szCs w:val="21"/>
                <w:highlight w:val="none"/>
                <w:lang w:eastAsia="en-US"/>
              </w:rPr>
              <w:t xml:space="preserve">评分标准</w:t>
            </w:r>
            <w:r/>
          </w:p>
        </w:tc>
        <w:tc>
          <w:tcPr>
            <w:tcW w:w="7580" w:type="dxa"/>
            <w:vAlign w:val="center"/>
            <w:textDirection w:val="lrTb"/>
            <w:noWrap w:val="false"/>
          </w:tcPr>
          <w:p>
            <w:pPr>
              <w:spacing w:line="320" w:lineRule="exact"/>
              <w:rPr>
                <w:rFonts w:ascii="宋体" w:hAnsi="宋体" w:eastAsia="宋体" w:cs="等线"/>
                <w:sz w:val="21"/>
                <w:szCs w:val="21"/>
                <w:highlight w:val="none"/>
              </w:rPr>
            </w:pPr>
            <w:r>
              <w:rPr>
                <w:rFonts w:hint="eastAsia" w:ascii="宋体" w:hAnsi="宋体" w:eastAsia="宋体" w:cs="等线"/>
                <w:sz w:val="21"/>
                <w:szCs w:val="21"/>
                <w:highlight w:val="none"/>
              </w:rPr>
              <w:t xml:space="preserve">详见第六章评分标准。</w:t>
            </w:r>
            <w:r/>
          </w:p>
        </w:tc>
      </w:tr>
      <w:tr>
        <w:trPr>
          <w:jc w:val="center"/>
          <w:trHeight w:val="340"/>
        </w:trPr>
        <w:tc>
          <w:tcPr>
            <w:tcW w:w="724" w:type="dxa"/>
            <w:vAlign w:val="center"/>
            <w:textDirection w:val="lrTb"/>
            <w:noWrap w:val="false"/>
          </w:tcPr>
          <w:p>
            <w:pPr>
              <w:jc w:val="center"/>
              <w:spacing w:line="320" w:lineRule="exact"/>
              <w:rPr>
                <w:rFonts w:ascii="宋体" w:hAnsi="宋体" w:eastAsia="宋体" w:cs="等线"/>
                <w:sz w:val="21"/>
                <w:szCs w:val="21"/>
                <w:highlight w:val="none"/>
              </w:rPr>
            </w:pPr>
            <w:r>
              <w:rPr>
                <w:rFonts w:hint="eastAsia" w:ascii="宋体" w:hAnsi="宋体" w:eastAsia="宋体" w:cs="等线"/>
                <w:sz w:val="21"/>
                <w:szCs w:val="21"/>
                <w:highlight w:val="none"/>
              </w:rPr>
              <w:t xml:space="preserve">17</w:t>
            </w:r>
            <w:r/>
          </w:p>
        </w:tc>
        <w:tc>
          <w:tcPr>
            <w:tcW w:w="1647" w:type="dxa"/>
            <w:vAlign w:val="center"/>
            <w:textDirection w:val="lrTb"/>
            <w:noWrap w:val="false"/>
          </w:tcPr>
          <w:p>
            <w:pPr>
              <w:jc w:val="left"/>
              <w:spacing w:line="320" w:lineRule="exact"/>
              <w:rPr>
                <w:rFonts w:ascii="宋体" w:hAnsi="宋体" w:eastAsia="宋体" w:cs="等线"/>
                <w:sz w:val="21"/>
                <w:szCs w:val="21"/>
                <w:highlight w:val="none"/>
                <w:lang w:eastAsia="en-US"/>
              </w:rPr>
            </w:pPr>
            <w:r>
              <w:rPr>
                <w:rFonts w:hint="eastAsia" w:ascii="宋体" w:hAnsi="宋体" w:eastAsia="宋体" w:cs="等线"/>
                <w:sz w:val="21"/>
                <w:szCs w:val="21"/>
                <w:highlight w:val="none"/>
                <w:lang w:eastAsia="en-US"/>
              </w:rPr>
              <w:t xml:space="preserve">评标方法</w:t>
            </w:r>
            <w:r/>
          </w:p>
        </w:tc>
        <w:tc>
          <w:tcPr>
            <w:tcW w:w="7580" w:type="dxa"/>
            <w:vAlign w:val="center"/>
            <w:textDirection w:val="lrTb"/>
            <w:noWrap w:val="false"/>
          </w:tcPr>
          <w:p>
            <w:pPr>
              <w:spacing w:line="320" w:lineRule="exact"/>
              <w:rPr>
                <w:rFonts w:ascii="宋体" w:hAnsi="宋体" w:eastAsia="宋体" w:cs="等线"/>
                <w:sz w:val="21"/>
                <w:szCs w:val="21"/>
                <w:highlight w:val="none"/>
              </w:rPr>
            </w:pPr>
            <w:r>
              <w:rPr>
                <w:rFonts w:hint="eastAsia" w:ascii="宋体" w:hAnsi="宋体" w:eastAsia="宋体" w:cs="等线"/>
                <w:sz w:val="21"/>
                <w:szCs w:val="21"/>
                <w:highlight w:val="none"/>
              </w:rPr>
              <w:t xml:space="preserve">用综合评分方法得分最高的投标单位为中标单位。</w:t>
            </w:r>
            <w:r/>
          </w:p>
        </w:tc>
      </w:tr>
    </w:tbl>
    <w:p>
      <w:pPr>
        <w:jc w:val="center"/>
        <w:spacing w:line="360" w:lineRule="auto"/>
        <w:rPr>
          <w:rFonts w:ascii="宋体" w:hAnsi="宋体" w:eastAsia="宋体"/>
          <w:b/>
          <w:sz w:val="48"/>
          <w:szCs w:val="48"/>
          <w:highlight w:val="none"/>
        </w:rPr>
      </w:pPr>
      <w:r>
        <w:rPr>
          <w:rFonts w:hint="eastAsia" w:ascii="宋体" w:hAnsi="宋体" w:eastAsia="宋体" w:cs="宋体"/>
          <w:sz w:val="32"/>
          <w:szCs w:val="32"/>
          <w:highlight w:val="none"/>
        </w:rPr>
        <w:br w:type="page" w:clear="all"/>
      </w:r>
      <w:bookmarkStart w:id="1" w:name="_Toc492294163"/>
      <w:r>
        <w:rPr>
          <w:rFonts w:hint="eastAsia" w:ascii="宋体" w:hAnsi="宋体" w:eastAsia="宋体"/>
          <w:b/>
          <w:sz w:val="48"/>
          <w:szCs w:val="48"/>
          <w:highlight w:val="none"/>
        </w:rPr>
        <w:t xml:space="preserve">总目录</w:t>
      </w:r>
      <w:r/>
    </w:p>
    <w:p>
      <w:pPr>
        <w:pStyle w:val="722"/>
        <w:jc w:val="left"/>
        <w:rPr>
          <w:rFonts w:eastAsia="宋体"/>
          <w:color w:val="auto"/>
          <w:sz w:val="28"/>
          <w:szCs w:val="28"/>
          <w:highlight w:val="none"/>
        </w:rPr>
      </w:pPr>
      <w:r>
        <w:rPr>
          <w:rFonts w:hint="eastAsia" w:eastAsia="宋体"/>
          <w:color w:val="auto"/>
          <w:highlight w:val="none"/>
        </w:rPr>
        <w:fldChar w:fldCharType="begin"/>
      </w:r>
      <w:r>
        <w:rPr>
          <w:rFonts w:hint="eastAsia" w:eastAsia="宋体"/>
          <w:color w:val="auto"/>
          <w:sz w:val="28"/>
          <w:szCs w:val="28"/>
          <w:highlight w:val="none"/>
        </w:rPr>
        <w:instrText xml:space="preserve"> TOC \o "1-1" \h \z \u </w:instrText>
      </w:r>
      <w:r>
        <w:rPr>
          <w:rFonts w:hint="eastAsia" w:eastAsia="宋体"/>
          <w:color w:val="auto"/>
          <w:highlight w:val="none"/>
        </w:rPr>
        <w:fldChar w:fldCharType="separate"/>
      </w:r>
      <w:r>
        <w:rPr>
          <w:highlight w:val="none"/>
        </w:rPr>
        <w:fldChar w:fldCharType="begin"/>
      </w:r>
      <w:r>
        <w:rPr>
          <w:highlight w:val="none"/>
        </w:rPr>
        <w:instrText xml:space="preserve"> HYPERLINK "file:///C:\\Users\\Administrator\\Desktop\\实验室仪器购置\\172466230323562ed39f435b74316b6d5937959752773阳澄湖派出所2024年食堂原材料供应采购文件.doc.doc" \l "_Toc35951271" </w:instrText>
      </w:r>
      <w:r>
        <w:rPr>
          <w:highlight w:val="none"/>
        </w:rPr>
        <w:fldChar w:fldCharType="separate"/>
      </w:r>
      <w:r>
        <w:rPr>
          <w:rStyle w:val="741"/>
          <w:rFonts w:hint="eastAsia" w:eastAsia="宋体"/>
          <w:color w:val="auto"/>
          <w:sz w:val="28"/>
          <w:szCs w:val="28"/>
          <w:highlight w:val="none"/>
        </w:rPr>
        <w:t xml:space="preserve">第一章 招标公告</w:t>
      </w:r>
      <w:r>
        <w:rPr>
          <w:rStyle w:val="741"/>
          <w:rFonts w:hint="eastAsia" w:eastAsia="宋体"/>
          <w:color w:val="auto"/>
          <w:highlight w:val="none"/>
        </w:rPr>
        <w:fldChar w:fldCharType="end"/>
      </w:r>
      <w:r/>
    </w:p>
    <w:p>
      <w:pPr>
        <w:pStyle w:val="722"/>
        <w:jc w:val="left"/>
        <w:rPr>
          <w:rFonts w:eastAsia="宋体"/>
          <w:color w:val="auto"/>
          <w:sz w:val="28"/>
          <w:szCs w:val="28"/>
          <w:highlight w:val="none"/>
        </w:rPr>
      </w:pPr>
      <w:r>
        <w:rPr>
          <w:highlight w:val="none"/>
        </w:rPr>
        <w:fldChar w:fldCharType="begin"/>
      </w:r>
      <w:r>
        <w:rPr>
          <w:highlight w:val="none"/>
        </w:rPr>
        <w:instrText xml:space="preserve"> HYPERLINK "file:///C:\\Users\\Administrator\\Desktop\\实验室仪器购置\\172466230323562ed39f435b74316b6d5937959752773阳澄湖派出所2024年食堂原材料供应采购文件.doc.doc" \l "_Toc35951272" </w:instrText>
      </w:r>
      <w:r>
        <w:rPr>
          <w:highlight w:val="none"/>
        </w:rPr>
        <w:fldChar w:fldCharType="separate"/>
      </w:r>
      <w:r>
        <w:rPr>
          <w:rStyle w:val="741"/>
          <w:rFonts w:hint="eastAsia" w:eastAsia="宋体"/>
          <w:color w:val="auto"/>
          <w:sz w:val="28"/>
          <w:szCs w:val="28"/>
          <w:highlight w:val="none"/>
        </w:rPr>
        <w:t xml:space="preserve">第二章 投标人须知</w:t>
      </w:r>
      <w:r>
        <w:rPr>
          <w:rStyle w:val="741"/>
          <w:rFonts w:hint="eastAsia" w:eastAsia="宋体"/>
          <w:color w:val="auto"/>
          <w:highlight w:val="none"/>
        </w:rPr>
        <w:fldChar w:fldCharType="end"/>
      </w:r>
      <w:r/>
    </w:p>
    <w:p>
      <w:pPr>
        <w:pStyle w:val="722"/>
        <w:jc w:val="left"/>
        <w:rPr>
          <w:rFonts w:eastAsia="宋体"/>
          <w:color w:val="auto"/>
          <w:sz w:val="28"/>
          <w:szCs w:val="28"/>
          <w:highlight w:val="none"/>
        </w:rPr>
      </w:pPr>
      <w:r>
        <w:rPr>
          <w:highlight w:val="none"/>
        </w:rPr>
        <w:fldChar w:fldCharType="begin"/>
      </w:r>
      <w:r>
        <w:rPr>
          <w:highlight w:val="none"/>
        </w:rPr>
        <w:instrText xml:space="preserve"> HYPERLINK "file:///C:\\Users\\Administrator\\Desktop\\实验室仪器购置\\172466230323562ed39f435b74316b6d5937959752773阳澄湖派出所2024年食堂原材料供应采购文件.doc.doc" \l "_Toc35951273" </w:instrText>
      </w:r>
      <w:r>
        <w:rPr>
          <w:highlight w:val="none"/>
        </w:rPr>
        <w:fldChar w:fldCharType="separate"/>
      </w:r>
      <w:r>
        <w:rPr>
          <w:rStyle w:val="741"/>
          <w:rFonts w:hint="eastAsia" w:eastAsia="宋体"/>
          <w:color w:val="auto"/>
          <w:sz w:val="28"/>
          <w:szCs w:val="28"/>
          <w:highlight w:val="none"/>
        </w:rPr>
        <w:t xml:space="preserve">第三章 投标文件格式</w:t>
      </w:r>
      <w:r>
        <w:rPr>
          <w:rStyle w:val="741"/>
          <w:rFonts w:hint="eastAsia" w:eastAsia="宋体"/>
          <w:color w:val="auto"/>
          <w:highlight w:val="none"/>
        </w:rPr>
        <w:fldChar w:fldCharType="end"/>
      </w:r>
      <w:r/>
    </w:p>
    <w:p>
      <w:pPr>
        <w:pStyle w:val="722"/>
        <w:jc w:val="left"/>
        <w:rPr>
          <w:rFonts w:eastAsia="宋体"/>
          <w:color w:val="auto"/>
          <w:sz w:val="28"/>
          <w:szCs w:val="28"/>
          <w:highlight w:val="none"/>
        </w:rPr>
      </w:pPr>
      <w:r>
        <w:rPr>
          <w:highlight w:val="none"/>
        </w:rPr>
        <w:fldChar w:fldCharType="begin"/>
      </w:r>
      <w:r>
        <w:rPr>
          <w:highlight w:val="none"/>
        </w:rPr>
        <w:instrText xml:space="preserve"> HYPERLINK "file:///C:\\Users\\Administrator\\Desktop\\实验室仪器购置\\172466230323562ed39f435b74316b6d5937959752773阳澄湖派出所2024年食堂原材料供应采购文件.doc.doc" \l "_Toc35951274" </w:instrText>
      </w:r>
      <w:r>
        <w:rPr>
          <w:highlight w:val="none"/>
        </w:rPr>
        <w:fldChar w:fldCharType="separate"/>
      </w:r>
      <w:r>
        <w:rPr>
          <w:rStyle w:val="741"/>
          <w:rFonts w:hint="eastAsia" w:eastAsia="宋体"/>
          <w:color w:val="auto"/>
          <w:sz w:val="28"/>
          <w:szCs w:val="28"/>
          <w:highlight w:val="none"/>
        </w:rPr>
        <w:t xml:space="preserve">第四章 招标书</w:t>
      </w:r>
      <w:r>
        <w:rPr>
          <w:rStyle w:val="741"/>
          <w:rFonts w:hint="eastAsia" w:eastAsia="宋体"/>
          <w:color w:val="auto"/>
          <w:highlight w:val="none"/>
        </w:rPr>
        <w:fldChar w:fldCharType="end"/>
      </w:r>
      <w:r/>
    </w:p>
    <w:p>
      <w:pPr>
        <w:pStyle w:val="722"/>
        <w:jc w:val="left"/>
        <w:rPr>
          <w:rFonts w:eastAsia="宋体"/>
          <w:color w:val="auto"/>
          <w:sz w:val="28"/>
          <w:szCs w:val="28"/>
          <w:highlight w:val="none"/>
        </w:rPr>
      </w:pPr>
      <w:r>
        <w:rPr>
          <w:highlight w:val="none"/>
        </w:rPr>
        <w:fldChar w:fldCharType="begin"/>
      </w:r>
      <w:r>
        <w:rPr>
          <w:highlight w:val="none"/>
        </w:rPr>
        <w:instrText xml:space="preserve"> HYPERLINK "file:///C:\\Users\\Administrator\\Desktop\\实验室仪器购置\\172466230323562ed39f435b74316b6d5937959752773阳澄湖派出所2024年食堂原材料供应采购文件.doc.doc" \l "_Toc35951275" </w:instrText>
      </w:r>
      <w:r>
        <w:rPr>
          <w:highlight w:val="none"/>
        </w:rPr>
        <w:fldChar w:fldCharType="separate"/>
      </w:r>
      <w:r>
        <w:rPr>
          <w:rStyle w:val="741"/>
          <w:rFonts w:hint="eastAsia" w:eastAsia="宋体"/>
          <w:color w:val="auto"/>
          <w:sz w:val="28"/>
          <w:szCs w:val="28"/>
          <w:highlight w:val="none"/>
        </w:rPr>
        <w:t xml:space="preserve">第五章 合同主要条款</w:t>
      </w:r>
      <w:r>
        <w:rPr>
          <w:rStyle w:val="741"/>
          <w:rFonts w:hint="eastAsia" w:eastAsia="宋体"/>
          <w:color w:val="auto"/>
          <w:sz w:val="28"/>
          <w:szCs w:val="28"/>
          <w:highlight w:val="none"/>
        </w:rPr>
        <w:fldChar w:fldCharType="end"/>
      </w:r>
      <w:r/>
    </w:p>
    <w:p>
      <w:pPr>
        <w:pStyle w:val="722"/>
        <w:jc w:val="left"/>
        <w:rPr>
          <w:rFonts w:eastAsia="宋体"/>
          <w:color w:val="auto"/>
          <w:sz w:val="28"/>
          <w:szCs w:val="28"/>
          <w:highlight w:val="none"/>
        </w:rPr>
      </w:pPr>
      <w:r>
        <w:rPr>
          <w:highlight w:val="none"/>
        </w:rPr>
        <w:fldChar w:fldCharType="begin"/>
      </w:r>
      <w:r>
        <w:rPr>
          <w:highlight w:val="none"/>
        </w:rPr>
        <w:instrText xml:space="preserve"> HYPERLINK "file:///C:\\Users\\Administrator\\Desktop\\实验室仪器购置\\172466230323562ed39f435b74316b6d5937959752773阳澄湖派出所2024年食堂原材料供应采购文件.doc.doc" \l "_Toc35951276" </w:instrText>
      </w:r>
      <w:r>
        <w:rPr>
          <w:highlight w:val="none"/>
        </w:rPr>
        <w:fldChar w:fldCharType="separate"/>
      </w:r>
      <w:r>
        <w:rPr>
          <w:rStyle w:val="741"/>
          <w:rFonts w:hint="eastAsia" w:eastAsia="宋体"/>
          <w:color w:val="auto"/>
          <w:sz w:val="28"/>
          <w:szCs w:val="28"/>
          <w:highlight w:val="none"/>
        </w:rPr>
        <w:t xml:space="preserve">第六章 评标办法及评分标准</w:t>
      </w:r>
      <w:r>
        <w:rPr>
          <w:rStyle w:val="741"/>
          <w:rFonts w:hint="eastAsia" w:eastAsia="宋体"/>
          <w:color w:val="auto"/>
          <w:sz w:val="28"/>
          <w:szCs w:val="28"/>
          <w:highlight w:val="none"/>
        </w:rPr>
        <w:fldChar w:fldCharType="end"/>
      </w:r>
      <w:r/>
    </w:p>
    <w:p>
      <w:pPr>
        <w:jc w:val="center"/>
        <w:spacing w:line="360" w:lineRule="auto"/>
        <w:rPr>
          <w:rFonts w:ascii="宋体" w:hAnsi="宋体" w:eastAsia="宋体"/>
          <w:b/>
          <w:sz w:val="32"/>
          <w:szCs w:val="32"/>
          <w:highlight w:val="none"/>
        </w:rPr>
        <w:outlineLvl w:val="0"/>
      </w:pPr>
      <w:r>
        <w:rPr>
          <w:rFonts w:hint="eastAsia" w:ascii="宋体" w:hAnsi="宋体" w:eastAsia="宋体"/>
          <w:highlight w:val="none"/>
        </w:rPr>
        <w:fldChar w:fldCharType="end"/>
      </w:r>
      <w:r>
        <w:rPr>
          <w:rFonts w:hint="eastAsia" w:ascii="宋体" w:hAnsi="宋体" w:eastAsia="宋体" w:cs="宋体"/>
          <w:sz w:val="32"/>
          <w:szCs w:val="32"/>
          <w:highlight w:val="none"/>
        </w:rPr>
        <w:br w:type="page" w:clear="all"/>
      </w:r>
      <w:bookmarkEnd w:id="1"/>
      <w:r/>
      <w:bookmarkStart w:id="2" w:name="_Toc492294164"/>
      <w:r/>
      <w:bookmarkStart w:id="3" w:name="_Toc142194255"/>
      <w:r/>
      <w:bookmarkStart w:id="4" w:name="_Toc492394284"/>
      <w:r/>
      <w:bookmarkStart w:id="5" w:name="_Toc35951271"/>
      <w:r>
        <w:rPr>
          <w:rFonts w:hint="eastAsia" w:ascii="宋体" w:hAnsi="宋体" w:eastAsia="宋体"/>
          <w:b/>
          <w:sz w:val="32"/>
          <w:szCs w:val="32"/>
          <w:highlight w:val="none"/>
        </w:rPr>
        <w:t xml:space="preserve">第一章 招标公告</w:t>
      </w:r>
      <w:bookmarkEnd w:id="2"/>
      <w:r/>
      <w:bookmarkEnd w:id="3"/>
      <w:r/>
      <w:bookmarkEnd w:id="4"/>
      <w:r/>
      <w:bookmarkEnd w:id="5"/>
      <w:r/>
      <w:r/>
    </w:p>
    <w:p>
      <w:pPr>
        <w:ind w:firstLine="420"/>
        <w:spacing w:line="360" w:lineRule="auto"/>
        <w:rPr>
          <w:rFonts w:hint="eastAsia" w:ascii="宋体" w:hAnsi="宋体" w:eastAsia="宋体" w:cs="宋体"/>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highlight w:val="none"/>
        </w:rPr>
        <w:t xml:space="preserve">项目概况</w:t>
      </w:r>
      <w:r/>
    </w:p>
    <w:p>
      <w:pPr>
        <w:ind w:firstLine="420"/>
        <w:spacing w:line="360" w:lineRule="auto"/>
        <w:rPr>
          <w:rFonts w:hint="eastAsia" w:ascii="宋体" w:hAnsi="宋体" w:eastAsia="宋体" w:cs="宋体"/>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highlight w:val="none"/>
          <w:u w:val="single"/>
          <w:lang w:val="zh-CN"/>
        </w:rPr>
        <w:t xml:space="preserve">北桥街道消防中队压缩空气泡沫消防车采购</w:t>
      </w:r>
      <w:r>
        <w:rPr>
          <w:rFonts w:hint="eastAsia" w:ascii="宋体" w:hAnsi="宋体" w:eastAsia="宋体" w:cs="宋体"/>
          <w:sz w:val="21"/>
          <w:szCs w:val="21"/>
          <w:highlight w:val="none"/>
        </w:rPr>
        <w:t xml:space="preserve">招标项目的潜在投标人应在</w:t>
      </w:r>
      <w:r>
        <w:rPr>
          <w:rFonts w:hint="eastAsia" w:ascii="宋体" w:hAnsi="宋体" w:eastAsia="宋体" w:cs="宋体"/>
          <w:sz w:val="21"/>
          <w:szCs w:val="21"/>
          <w:highlight w:val="none"/>
          <w:u w:val="single"/>
        </w:rPr>
        <w:t xml:space="preserve">苏采云系统</w:t>
      </w:r>
      <w:r>
        <w:rPr>
          <w:rFonts w:hint="eastAsia" w:ascii="宋体" w:hAnsi="宋体" w:eastAsia="宋体" w:cs="宋体"/>
          <w:sz w:val="21"/>
          <w:szCs w:val="21"/>
          <w:highlight w:val="none"/>
        </w:rPr>
        <w:t xml:space="preserve">获取招标文件，并于</w:t>
      </w:r>
      <w:r>
        <w:rPr>
          <w:rFonts w:hint="eastAsia" w:ascii="宋体" w:hAnsi="宋体" w:eastAsia="宋体" w:cs="宋体"/>
          <w:sz w:val="21"/>
          <w:szCs w:val="21"/>
          <w:highlight w:val="none"/>
          <w:u w:val="single"/>
          <w:lang w:eastAsia="zh-CN"/>
        </w:rPr>
        <w:t xml:space="preserve">2026年1月8日</w:t>
      </w:r>
      <w:r>
        <w:rPr>
          <w:rFonts w:hint="eastAsia" w:ascii="宋体" w:hAnsi="宋体" w:eastAsia="宋体" w:cs="宋体"/>
          <w:sz w:val="21"/>
          <w:szCs w:val="21"/>
          <w:highlight w:val="none"/>
          <w:u w:val="single"/>
          <w:lang w:val="en-US" w:eastAsia="zh-CN"/>
        </w:rPr>
        <w:t xml:space="preserve">13</w:t>
      </w:r>
      <w:r>
        <w:rPr>
          <w:rFonts w:hint="eastAsia" w:ascii="宋体" w:hAnsi="宋体" w:eastAsia="宋体" w:cs="宋体"/>
          <w:sz w:val="21"/>
          <w:szCs w:val="21"/>
          <w:highlight w:val="none"/>
          <w:u w:val="single"/>
        </w:rPr>
        <w:t xml:space="preserve">点30分</w:t>
      </w:r>
      <w:r>
        <w:rPr>
          <w:rFonts w:hint="eastAsia" w:ascii="宋体" w:hAnsi="宋体" w:eastAsia="宋体" w:cs="宋体"/>
          <w:sz w:val="21"/>
          <w:szCs w:val="21"/>
          <w:highlight w:val="none"/>
        </w:rPr>
        <w:t xml:space="preserve">（北京时间）前递交投标文件。</w:t>
      </w:r>
      <w:r/>
    </w:p>
    <w:p>
      <w:pPr>
        <w:ind w:firstLine="422"/>
        <w:spacing w:line="360" w:lineRule="auto"/>
        <w:tabs>
          <w:tab w:val="left" w:pos="360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一、项目基本情况</w:t>
      </w:r>
      <w:r/>
    </w:p>
    <w:p>
      <w:pPr>
        <w:ind w:firstLine="420"/>
        <w:spacing w:line="360" w:lineRule="auto"/>
        <w:tabs>
          <w:tab w:val="left" w:pos="3600"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项目编号：</w:t>
      </w:r>
      <w:r>
        <w:rPr>
          <w:rFonts w:hint="eastAsia" w:ascii="宋体" w:hAnsi="宋体" w:eastAsia="宋体" w:cs="宋体"/>
          <w:sz w:val="21"/>
          <w:szCs w:val="21"/>
          <w:highlight w:val="none"/>
          <w:lang w:eastAsia="zh-CN"/>
        </w:rPr>
        <w:t xml:space="preserve">JSZC-320507-JHRG-G2025-0006</w:t>
      </w:r>
      <w:r/>
    </w:p>
    <w:p>
      <w:pPr>
        <w:ind w:firstLine="420"/>
        <w:spacing w:line="360" w:lineRule="auto"/>
        <w:tabs>
          <w:tab w:val="left" w:pos="3600"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eastAsia="zh-CN"/>
        </w:rPr>
        <w:t xml:space="preserve">北桥街道消防中队压缩空气泡沫消防车采购</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预算金额：</w:t>
      </w:r>
      <w:r>
        <w:rPr>
          <w:rFonts w:hint="eastAsia" w:ascii="宋体" w:hAnsi="宋体" w:eastAsia="宋体" w:cs="宋体"/>
          <w:sz w:val="21"/>
          <w:szCs w:val="21"/>
          <w:highlight w:val="none"/>
          <w:lang w:val="en-US" w:eastAsia="zh-CN"/>
        </w:rPr>
        <w:t xml:space="preserve">348</w:t>
      </w:r>
      <w:r>
        <w:rPr>
          <w:rFonts w:hint="eastAsia" w:ascii="宋体" w:hAnsi="宋体" w:eastAsia="宋体" w:cs="宋体"/>
          <w:sz w:val="21"/>
          <w:szCs w:val="21"/>
          <w:highlight w:val="none"/>
        </w:rPr>
        <w:t xml:space="preserve">.000000万元 </w:t>
      </w:r>
      <w:r/>
    </w:p>
    <w:p>
      <w:p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最高限价（如有）：</w:t>
      </w:r>
      <w:r>
        <w:rPr>
          <w:rFonts w:hint="eastAsia" w:ascii="宋体" w:hAnsi="宋体" w:eastAsia="宋体" w:cs="宋体"/>
          <w:sz w:val="21"/>
          <w:szCs w:val="21"/>
          <w:highlight w:val="none"/>
          <w:lang w:val="en-US" w:eastAsia="zh-CN"/>
        </w:rPr>
        <w:t xml:space="preserve">348</w:t>
      </w:r>
      <w:r>
        <w:rPr>
          <w:rFonts w:hint="eastAsia" w:ascii="宋体" w:hAnsi="宋体" w:eastAsia="宋体" w:cs="宋体"/>
          <w:sz w:val="21"/>
          <w:szCs w:val="21"/>
          <w:highlight w:val="none"/>
        </w:rPr>
        <w:t xml:space="preserve">万元  </w:t>
      </w:r>
      <w:r/>
    </w:p>
    <w:p>
      <w:pPr>
        <w:ind w:firstLine="420"/>
        <w:spacing w:line="360" w:lineRule="auto"/>
        <w:tabs>
          <w:tab w:val="left" w:pos="36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采购需求：</w:t>
      </w:r>
      <w:r/>
    </w:p>
    <w:tbl>
      <w:tblPr>
        <w:tblStyle w:val="7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92"/>
        <w:gridCol w:w="1992"/>
        <w:gridCol w:w="1992"/>
        <w:gridCol w:w="1993"/>
        <w:gridCol w:w="1993"/>
      </w:tblGrid>
      <w:tr>
        <w:trPr/>
        <w:tc>
          <w:tcPr>
            <w:tcW w:w="199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
              </w:rPr>
              <w:t xml:space="preserve">标段号</w:t>
            </w:r>
            <w:r/>
          </w:p>
        </w:tc>
        <w:tc>
          <w:tcPr>
            <w:tcW w:w="199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vertAlign w:val="baseline"/>
                <w:lang w:val="en-US" w:eastAsia="zh-CN"/>
              </w:rPr>
              <w:t xml:space="preserve">项目名称</w:t>
            </w:r>
            <w:r/>
          </w:p>
        </w:tc>
        <w:tc>
          <w:tcPr>
            <w:tcW w:w="199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vertAlign w:val="baseline"/>
                <w:lang w:val="en-US" w:eastAsia="zh-CN"/>
              </w:rPr>
              <w:t xml:space="preserve">数量/单位</w:t>
            </w:r>
            <w:r/>
          </w:p>
        </w:tc>
        <w:tc>
          <w:tcPr>
            <w:tcW w:w="199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vertAlign w:val="baseline"/>
                <w:lang w:val="en-US" w:eastAsia="zh-CN"/>
              </w:rPr>
              <w:t xml:space="preserve">各标段采购预算（最高限价）</w:t>
            </w:r>
            <w:r/>
          </w:p>
        </w:tc>
        <w:tc>
          <w:tcPr>
            <w:tcW w:w="199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vertAlign w:val="baseline"/>
                <w:lang w:val="en-US" w:eastAsia="zh-CN"/>
              </w:rPr>
              <w:t xml:space="preserve">备注</w:t>
            </w:r>
            <w:r/>
          </w:p>
        </w:tc>
      </w:tr>
      <w:tr>
        <w:trPr>
          <w:trHeight w:val="735"/>
        </w:trPr>
        <w:tc>
          <w:tcPr>
            <w:tcW w:w="199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vertAlign w:val="baseline"/>
                <w:lang w:val="en-US" w:eastAsia="zh-CN"/>
              </w:rPr>
              <w:t xml:space="preserve">第一标段</w:t>
            </w:r>
            <w:r/>
          </w:p>
        </w:tc>
        <w:tc>
          <w:tcPr>
            <w:tcW w:w="199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vertAlign w:val="baseline"/>
              </w:rPr>
              <w:t xml:space="preserve">压缩空气泡沫消防车（2吨）</w:t>
            </w:r>
            <w:r/>
          </w:p>
        </w:tc>
        <w:tc>
          <w:tcPr>
            <w:tcW w:w="199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vertAlign w:val="baseline"/>
                <w:lang w:val="en-US" w:eastAsia="zh-CN"/>
              </w:rPr>
              <w:t xml:space="preserve">1辆</w:t>
            </w:r>
            <w:r/>
          </w:p>
        </w:tc>
        <w:tc>
          <w:tcPr>
            <w:tcW w:w="199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zh-CN"/>
              </w:rPr>
              <w:t xml:space="preserve">人民币</w:t>
            </w:r>
            <w:r>
              <w:rPr>
                <w:rFonts w:hint="eastAsia" w:ascii="宋体" w:hAnsi="宋体" w:eastAsia="宋体" w:cs="宋体"/>
                <w:sz w:val="21"/>
                <w:szCs w:val="21"/>
                <w:highlight w:val="none"/>
                <w:lang w:val="en-US" w:eastAsia="zh-CN"/>
              </w:rPr>
              <w:t xml:space="preserve">叁佰肆拾捌万元整</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348</w:t>
            </w:r>
            <w:r>
              <w:rPr>
                <w:rFonts w:hint="eastAsia" w:ascii="宋体" w:hAnsi="宋体" w:eastAsia="宋体" w:cs="宋体"/>
                <w:sz w:val="21"/>
                <w:szCs w:val="21"/>
                <w:highlight w:val="none"/>
                <w:lang w:val="zh-CN"/>
              </w:rPr>
              <w:t xml:space="preserve">0000.00）</w:t>
            </w:r>
            <w:r/>
          </w:p>
        </w:tc>
        <w:tc>
          <w:tcPr>
            <w:tcW w:w="199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1"/>
                <w:szCs w:val="21"/>
                <w:highlight w:val="none"/>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vertAlign w:val="baseline"/>
              </w:rPr>
              <w:t xml:space="preserve">不接受整体设备进口产品投标</w:t>
            </w:r>
            <w:r/>
          </w:p>
        </w:tc>
      </w:tr>
    </w:tbl>
    <w:p>
      <w:pPr>
        <w:pStyle w:val="70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合同履行期限：自合同签订生效后11个月内完成全部采购内容的供货安装调试并交付正常使用，具体根据采购单位要求。</w:t>
      </w:r>
      <w:r/>
    </w:p>
    <w:p>
      <w:pPr>
        <w:ind w:firstLine="422"/>
        <w:spacing w:line="360" w:lineRule="auto"/>
        <w:tabs>
          <w:tab w:val="left" w:pos="3600" w:leader="none"/>
        </w:tabs>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本项目（是/否）接受联合体投标：否</w:t>
      </w:r>
      <w:r/>
    </w:p>
    <w:p>
      <w:pPr>
        <w:ind w:firstLine="422"/>
        <w:spacing w:line="360" w:lineRule="auto"/>
        <w:tabs>
          <w:tab w:val="left" w:pos="36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二、申请人的资格要求</w:t>
      </w:r>
      <w:r/>
    </w:p>
    <w:p>
      <w:pPr>
        <w:pStyle w:val="709"/>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（一）满足《中华人民共和国政府采购法》第二十二条规定：</w:t>
      </w:r>
      <w:r/>
    </w:p>
    <w:p>
      <w:pPr>
        <w:pStyle w:val="709"/>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1.具有独立承担民事责任的能力；</w:t>
      </w:r>
      <w:r/>
    </w:p>
    <w:p>
      <w:pPr>
        <w:pStyle w:val="709"/>
        <w:numPr>
          <w:ilvl w:val="0"/>
          <w:numId w:val="0"/>
        </w:numPr>
        <w:ind w:left="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具有良好的商业信誉和健全的财务会计制度；</w:t>
      </w:r>
      <w:r/>
    </w:p>
    <w:p>
      <w:pPr>
        <w:pStyle w:val="709"/>
        <w:numPr>
          <w:ilvl w:val="0"/>
          <w:numId w:val="0"/>
        </w:numPr>
        <w:ind w:left="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3.具有履行合同所必需的设备和专业技术能力；</w:t>
      </w:r>
      <w:r/>
    </w:p>
    <w:p>
      <w:pPr>
        <w:pStyle w:val="709"/>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4.有依法缴纳税收和社会保障资金的良好记录；</w:t>
      </w:r>
      <w:r/>
    </w:p>
    <w:p>
      <w:pPr>
        <w:pStyle w:val="709"/>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5.参加政府采购活动前三年内，在经营活动中没有重大违法记录；</w:t>
      </w:r>
      <w:r/>
    </w:p>
    <w:p>
      <w:pPr>
        <w:pStyle w:val="709"/>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6.法律、行政法规规定的其他条件。</w:t>
      </w:r>
      <w:r/>
    </w:p>
    <w:p>
      <w:pPr>
        <w:pStyle w:val="709"/>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（二）落实政府采购政策需满足的资格要求：</w:t>
      </w:r>
      <w:r/>
    </w:p>
    <w:p>
      <w:pPr>
        <w:pStyle w:val="709"/>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根据《政府采购促进中小企业发展管理办法》的相关规定，本项目专门面向中小企业采购。本项目所属行业为工业。</w:t>
      </w:r>
      <w:r/>
    </w:p>
    <w:p>
      <w:pPr>
        <w:pStyle w:val="709"/>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（三）本项目的特定资格要求： </w:t>
      </w:r>
      <w:r/>
    </w:p>
    <w:p>
      <w:pPr>
        <w:pStyle w:val="709"/>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1.未被列入失信被执行人、重大税收违法失信主体名单、政府采购严重失信行为记录名单。</w:t>
      </w:r>
      <w:r/>
    </w:p>
    <w:p>
      <w:pPr>
        <w:pStyle w:val="709"/>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709"/>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3.为采购项目提供整体设计、规范编制或者项目管理、监理、检测等服务的供应商，不得再参加该采购项目的其他采购活动。</w:t>
      </w:r>
      <w:r/>
    </w:p>
    <w:p>
      <w:pPr>
        <w:ind w:left="0" w:firstLine="422"/>
        <w:jc w:val="both"/>
        <w:spacing w:line="360" w:lineRule="auto"/>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三、获取招标文件 </w:t>
      </w:r>
      <w:r/>
    </w:p>
    <w:p>
      <w:pPr>
        <w:ind w:left="0" w:firstLine="420"/>
        <w:jc w:val="both"/>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时间：自招标文件公告发布之日起5个工作日 </w:t>
      </w:r>
      <w:r/>
    </w:p>
    <w:p>
      <w:pPr>
        <w:ind w:left="0" w:firstLine="420"/>
        <w:jc w:val="both"/>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地点：苏采云系统 </w:t>
      </w:r>
      <w:r/>
    </w:p>
    <w:p>
      <w:pPr>
        <w:ind w:left="0" w:firstLine="420"/>
        <w:jc w:val="both"/>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方式：网上报名获取 </w:t>
      </w:r>
      <w:r/>
    </w:p>
    <w:p>
      <w:pPr>
        <w:ind w:left="0" w:firstLine="420"/>
        <w:jc w:val="both"/>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售价：0.00元</w:t>
      </w:r>
      <w:r/>
    </w:p>
    <w:p>
      <w:pPr>
        <w:ind w:left="0" w:firstLine="422"/>
        <w:jc w:val="both"/>
        <w:spacing w:line="360" w:lineRule="auto"/>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四、提交投标文件截止时间、开标时间和地点</w:t>
      </w:r>
      <w:r/>
    </w:p>
    <w:p>
      <w:pPr>
        <w:ind w:left="0" w:firstLine="422"/>
        <w:jc w:val="both"/>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2026-1-8   13:30 （北京时间）</w:t>
      </w:r>
      <w:r/>
    </w:p>
    <w:p>
      <w:pPr>
        <w:ind w:left="0" w:firstLine="422"/>
        <w:jc w:val="both"/>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地点：苏采云系统</w:t>
      </w:r>
      <w:r/>
    </w:p>
    <w:p>
      <w:pPr>
        <w:ind w:left="0" w:firstLine="422"/>
        <w:jc w:val="both"/>
        <w:spacing w:line="360" w:lineRule="auto"/>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五、公告期限</w:t>
      </w:r>
      <w:r/>
    </w:p>
    <w:p>
      <w:pPr>
        <w:ind w:left="0" w:firstLine="420"/>
        <w:jc w:val="both"/>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自本公告发布之日起 5 个工作日。</w:t>
      </w:r>
      <w:r/>
    </w:p>
    <w:p>
      <w:pPr>
        <w:ind w:left="0" w:firstLine="422"/>
        <w:jc w:val="both"/>
        <w:spacing w:line="360" w:lineRule="auto"/>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六、其他补充事宜</w:t>
      </w:r>
      <w:bookmarkStart w:id="61" w:name="_GoBack"/>
      <w:r/>
      <w:bookmarkEnd w:id="61"/>
      <w:r/>
      <w:r/>
    </w:p>
    <w:p>
      <w:pPr>
        <w:ind w:left="0" w:firstLine="420"/>
        <w:jc w:val="both"/>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1.采购文件获取方式：</w:t>
      </w:r>
      <w:r/>
    </w:p>
    <w:p>
      <w:pPr>
        <w:ind w:left="0" w:firstLine="420"/>
        <w:jc w:val="both"/>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（1）CA证书办理</w:t>
      </w:r>
      <w:r/>
    </w:p>
    <w:p>
      <w:pPr>
        <w:ind w:left="0" w:firstLine="420"/>
        <w:jc w:val="both"/>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供应商</w:t>
      </w:r>
      <w:r>
        <w:rPr>
          <w:rFonts w:hint="eastAsia" w:ascii="宋体" w:hAnsi="宋体" w:eastAsia="宋体" w:cs="宋体"/>
          <w:sz w:val="21"/>
          <w:szCs w:val="21"/>
          <w:highlight w:val="none"/>
          <w:lang w:val="en-US" w:eastAsia="zh-CN" w:bidi="ar-SA"/>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left="0" w:firstLine="420"/>
        <w:jc w:val="both"/>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（2）项目参与</w:t>
      </w:r>
      <w:r/>
    </w:p>
    <w:p>
      <w:pPr>
        <w:ind w:left="0" w:firstLine="420"/>
        <w:jc w:val="both"/>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ind w:left="0" w:firstLine="420"/>
        <w:jc w:val="both"/>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（3）技术服务咨询电话：</w:t>
      </w:r>
      <w:r/>
    </w:p>
    <w:p>
      <w:pPr>
        <w:ind w:left="0" w:firstLine="420"/>
        <w:jc w:val="both"/>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CA技术咨询电话：400-608-6099</w:t>
      </w:r>
      <w:r/>
    </w:p>
    <w:p>
      <w:pPr>
        <w:ind w:left="0" w:firstLine="420"/>
        <w:jc w:val="both"/>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电子签章技术咨询电话：025-83633811、025-83633812、15380932027、15371015030</w:t>
      </w:r>
      <w:r/>
    </w:p>
    <w:p>
      <w:pPr>
        <w:ind w:left="0" w:firstLine="420"/>
        <w:jc w:val="both"/>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系统使用指导与咨询电话：18261002950（不见面项目）QQ：3048755361、895706745。</w:t>
      </w:r>
      <w:r/>
    </w:p>
    <w:p>
      <w:pPr>
        <w:ind w:left="0" w:firstLine="420"/>
        <w:jc w:val="both"/>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未依照招标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left="0" w:firstLine="420"/>
        <w:jc w:val="both"/>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（5）供应商在“苏</w:t>
      </w:r>
      <w:r>
        <w:rPr>
          <w:rFonts w:hint="eastAsia" w:ascii="宋体" w:hAnsi="宋体" w:eastAsia="宋体" w:cs="宋体"/>
          <w:sz w:val="21"/>
          <w:szCs w:val="21"/>
          <w:highlight w:val="none"/>
          <w:lang w:val="en-US" w:eastAsia="zh-CN" w:bidi="ar-SA"/>
        </w:rPr>
        <w:t xml:space="preserve">采云”系统中操作成功参与项目后，必须在“已参与项目”界面中下载电子招标文件（后缀名为“.kedt”）并导入政府采购客户端工具后方可进行投标文件制作和提交（具体详见《苏采云系统供应商操作手册》。1.本项目采用电子招投标形式，请供应商按照《苏采云系统供应商操作手册》进行制作、上传电子投标文件。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责任。</w:t>
      </w:r>
      <w:r/>
    </w:p>
    <w:p>
      <w:pPr>
        <w:ind w:left="0" w:firstLine="420"/>
        <w:jc w:val="both"/>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2.线上参加开标（开启）会方式：供应商登录“苏采云”系统，点击“开标大厅”，选择对应项目，点击进入不见面开标系统。</w:t>
      </w:r>
      <w:r/>
    </w:p>
    <w:p>
      <w:pPr>
        <w:ind w:left="0" w:firstLine="420"/>
        <w:jc w:val="both"/>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3.本项目为不见面开标（开启）项目，开启阶段供应商在【解密环节】必须使用 CA证书解密电子投标文件，如在“苏采云”系统规定的时间内（投标文件提交截止时间后 30分钟)未能成功解密的视为放弃参与本项目，投标无效。</w:t>
      </w:r>
      <w:r/>
    </w:p>
    <w:p>
      <w:pPr>
        <w:ind w:left="0" w:firstLine="420"/>
        <w:jc w:val="both"/>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4.请供应商确保电脑、系统及其他设备（视频输入输出设备等）无误，且开启直至项目结束始终保持系统在线状态。</w:t>
      </w:r>
      <w:r/>
    </w:p>
    <w:p>
      <w:pPr>
        <w:ind w:left="0" w:firstLine="420"/>
        <w:jc w:val="both"/>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5.本公告同时在江苏省政府采购网、苏州市政府采购网上发布。</w:t>
      </w:r>
      <w:r/>
    </w:p>
    <w:p>
      <w:pPr>
        <w:ind w:left="0" w:firstLine="420"/>
        <w:jc w:val="both"/>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6.苏州市相城区财政局政府采购管理处监督电话：</w:t>
      </w:r>
      <w:r>
        <w:rPr>
          <w:rFonts w:hint="eastAsia" w:ascii="宋体" w:hAnsi="宋体" w:eastAsia="宋体" w:cs="宋体"/>
          <w:color w:val="000000"/>
          <w:sz w:val="21"/>
          <w:szCs w:val="21"/>
          <w:highlight w:val="none"/>
        </w:rPr>
        <w:t xml:space="preserve">0512-67591006/67591005</w:t>
      </w:r>
      <w:r>
        <w:rPr>
          <w:rFonts w:hint="eastAsia" w:ascii="宋体" w:hAnsi="宋体" w:eastAsia="宋体" w:cs="宋体"/>
          <w:sz w:val="21"/>
          <w:szCs w:val="21"/>
          <w:highlight w:val="none"/>
          <w:lang w:val="en-US" w:eastAsia="zh-CN" w:bidi="ar-SA"/>
        </w:rPr>
        <w:t xml:space="preserve">。</w:t>
      </w:r>
      <w:r/>
    </w:p>
    <w:p>
      <w:pPr>
        <w:ind w:left="0" w:firstLine="420"/>
        <w:jc w:val="both"/>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7.本项目获取采购文件截止日期之后仍可以下载采购文件，但截止日期之后下载的采购文件，视为非有效方式且不作为供应商权益受到损害的证明材料和依据。</w:t>
      </w:r>
      <w:r/>
    </w:p>
    <w:p>
      <w:pPr>
        <w:ind w:left="0" w:firstLine="422"/>
        <w:jc w:val="both"/>
        <w:spacing w:line="360" w:lineRule="auto"/>
        <w:rPr>
          <w:rFonts w:hint="eastAsia" w:ascii="宋体" w:hAnsi="宋体" w:eastAsia="宋体" w:cs="宋体"/>
          <w:b/>
          <w:bCs/>
          <w:sz w:val="21"/>
          <w:szCs w:val="21"/>
          <w:highlight w:val="none"/>
        </w:rPr>
      </w:pPr>
      <w:r>
        <w:rPr>
          <w:rFonts w:hint="eastAsia" w:ascii="宋体" w:hAnsi="宋体" w:eastAsia="宋体" w:cs="宋体"/>
          <w:b/>
          <w:sz w:val="21"/>
          <w:szCs w:val="21"/>
          <w:highlight w:val="none"/>
          <w:lang w:val="en-US" w:eastAsia="zh-CN" w:bidi="ar-SA"/>
        </w:rPr>
        <w:t xml:space="preserve">七、对本次征集提出询问，请按以下方式联系</w:t>
      </w:r>
      <w:r/>
    </w:p>
    <w:p>
      <w:pPr>
        <w:ind w:firstLine="420"/>
        <w:spacing w:line="360" w:lineRule="auto"/>
        <w:rPr>
          <w:rFonts w:hint="eastAsia" w:ascii="宋体" w:hAnsi="宋体" w:eastAsia="宋体" w:cs="宋体"/>
          <w:sz w:val="21"/>
          <w:szCs w:val="21"/>
          <w:highlight w:val="none"/>
        </w:rPr>
      </w:pPr>
      <w:r/>
      <w:bookmarkStart w:id="6" w:name="_Toc28359075"/>
      <w:r/>
      <w:bookmarkStart w:id="7" w:name="_Toc35393617"/>
      <w:r/>
      <w:bookmarkStart w:id="8" w:name="_Toc28358998"/>
      <w:r>
        <w:rPr>
          <w:rFonts w:hint="eastAsia" w:ascii="宋体" w:hAnsi="宋体" w:eastAsia="宋体" w:cs="宋体"/>
          <w:sz w:val="21"/>
          <w:szCs w:val="21"/>
          <w:highlight w:val="none"/>
        </w:rPr>
        <w:t xml:space="preserve">1、采购人信息</w:t>
      </w:r>
      <w:bookmarkEnd w:id="6"/>
      <w:r/>
      <w:bookmarkEnd w:id="7"/>
      <w:r/>
      <w:bookmarkEnd w:id="8"/>
      <w:r/>
      <w:r/>
    </w:p>
    <w:p>
      <w:p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名称：</w:t>
      </w:r>
      <w:r>
        <w:rPr>
          <w:rFonts w:hint="eastAsia" w:ascii="宋体" w:hAnsi="宋体" w:eastAsia="宋体" w:cs="宋体"/>
          <w:sz w:val="21"/>
          <w:szCs w:val="21"/>
          <w:highlight w:val="none"/>
          <w:lang w:eastAsia="zh-CN"/>
        </w:rPr>
        <w:t xml:space="preserve">苏州市相城区人民政府北桥街道办事处</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地址：苏州市相城区北桥街道上塘街</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联系人：朱亦青</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联系电话：0512-65412435</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2、采购代理机构信息</w:t>
      </w:r>
      <w:r/>
    </w:p>
    <w:p>
      <w:p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名称：</w:t>
      </w:r>
      <w:r>
        <w:rPr>
          <w:rFonts w:hint="eastAsia" w:ascii="宋体" w:hAnsi="宋体" w:eastAsia="宋体" w:cs="宋体"/>
          <w:sz w:val="21"/>
          <w:szCs w:val="21"/>
          <w:highlight w:val="none"/>
          <w:lang w:eastAsia="zh-CN"/>
        </w:rPr>
        <w:t xml:space="preserve">苏州嘉泓瑞项目管理咨询有限公司</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地址：苏州市相城区华元路1902号2幢东楼2楼</w:t>
      </w:r>
      <w:r/>
    </w:p>
    <w:p>
      <w:p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联系人：</w:t>
      </w:r>
      <w:r>
        <w:rPr>
          <w:rFonts w:hint="eastAsia" w:ascii="宋体" w:hAnsi="宋体" w:eastAsia="宋体" w:cs="宋体"/>
          <w:sz w:val="21"/>
          <w:szCs w:val="21"/>
          <w:highlight w:val="none"/>
          <w:lang w:eastAsia="zh-CN"/>
        </w:rPr>
        <w:t xml:space="preserve">刘露冰杰、刘广郑</w:t>
      </w:r>
      <w:r/>
    </w:p>
    <w:p>
      <w:p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lang w:eastAsia="zh-CN"/>
        </w:rPr>
        <w:t xml:space="preserve">0512-69575388-8001</w:t>
      </w:r>
      <w:r/>
    </w:p>
    <w:p>
      <w:pPr>
        <w:jc w:val="center"/>
        <w:spacing w:line="360" w:lineRule="auto"/>
        <w:rPr>
          <w:rFonts w:ascii="宋体" w:hAnsi="宋体" w:eastAsia="宋体"/>
          <w:b/>
          <w:sz w:val="32"/>
          <w:szCs w:val="32"/>
          <w:highlight w:val="none"/>
        </w:rPr>
        <w:outlineLvl w:val="0"/>
      </w:pPr>
      <w:r/>
      <w:bookmarkStart w:id="9" w:name="_Toc13642113"/>
      <w:r/>
      <w:bookmarkEnd w:id="9"/>
      <w:r/>
      <w:bookmarkStart w:id="10" w:name="_Toc142194256"/>
      <w:r/>
      <w:bookmarkEnd w:id="10"/>
      <w:r/>
      <w:bookmarkStart w:id="11" w:name="_Toc492394285"/>
      <w:r/>
      <w:bookmarkStart w:id="12" w:name="_Toc35951272"/>
      <w:r>
        <w:rPr>
          <w:rFonts w:hint="eastAsia" w:ascii="宋体" w:hAnsi="宋体" w:eastAsia="宋体" w:cs="宋体"/>
          <w:b/>
          <w:sz w:val="21"/>
          <w:szCs w:val="21"/>
          <w:highlight w:val="none"/>
        </w:rPr>
        <w:br w:type="page" w:clear="all"/>
      </w:r>
      <w:r>
        <w:rPr>
          <w:rFonts w:hint="eastAsia" w:ascii="宋体" w:hAnsi="宋体" w:eastAsia="宋体"/>
          <w:b/>
          <w:sz w:val="32"/>
          <w:szCs w:val="32"/>
          <w:highlight w:val="none"/>
        </w:rPr>
        <w:t xml:space="preserve">第二章 投标人须知</w:t>
      </w:r>
      <w:bookmarkEnd w:id="11"/>
      <w:r/>
      <w:bookmarkEnd w:id="12"/>
      <w:r/>
      <w:r/>
    </w:p>
    <w:p>
      <w:pPr>
        <w:numPr>
          <w:ilvl w:val="0"/>
          <w:numId w:val="3"/>
        </w:numPr>
        <w:spacing w:line="400" w:lineRule="exact"/>
        <w:rPr>
          <w:rFonts w:ascii="宋体" w:hAnsi="宋体" w:eastAsia="宋体"/>
          <w:b/>
          <w:sz w:val="21"/>
          <w:szCs w:val="21"/>
          <w:highlight w:val="none"/>
        </w:rPr>
      </w:pPr>
      <w:r/>
      <w:bookmarkStart w:id="13" w:name="_Toc142194265"/>
      <w:r/>
      <w:bookmarkStart w:id="14" w:name="_Toc13642114"/>
      <w:r>
        <w:rPr>
          <w:rFonts w:hint="eastAsia" w:ascii="宋体" w:hAnsi="宋体" w:eastAsia="宋体"/>
          <w:b/>
          <w:sz w:val="21"/>
          <w:szCs w:val="21"/>
          <w:highlight w:val="none"/>
        </w:rPr>
        <w:t xml:space="preserve">说明和释义</w:t>
      </w:r>
      <w:r/>
    </w:p>
    <w:p>
      <w:pPr>
        <w:numPr>
          <w:ilvl w:val="0"/>
          <w:numId w:val="4"/>
        </w:numPr>
        <w:spacing w:line="400" w:lineRule="exact"/>
        <w:rPr>
          <w:rFonts w:ascii="宋体" w:hAnsi="宋体" w:eastAsia="宋体"/>
          <w:b/>
          <w:sz w:val="21"/>
          <w:szCs w:val="21"/>
          <w:highlight w:val="none"/>
        </w:rPr>
      </w:pPr>
      <w:r>
        <w:rPr>
          <w:rFonts w:hint="eastAsia" w:ascii="宋体" w:hAnsi="宋体" w:eastAsia="宋体"/>
          <w:b/>
          <w:sz w:val="21"/>
          <w:szCs w:val="21"/>
          <w:highlight w:val="none"/>
        </w:rPr>
        <w:t xml:space="preserve">说明</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1.1本招标文件仅适用于</w:t>
      </w:r>
      <w:r>
        <w:rPr>
          <w:rFonts w:hint="eastAsia" w:ascii="宋体" w:hAnsi="宋体" w:eastAsia="宋体"/>
          <w:sz w:val="21"/>
          <w:szCs w:val="21"/>
          <w:highlight w:val="none"/>
          <w:lang w:eastAsia="zh-CN"/>
        </w:rPr>
        <w:t xml:space="preserve">苏州嘉泓瑞项目管理咨询有限公司</w:t>
      </w:r>
      <w:r>
        <w:rPr>
          <w:rFonts w:hint="eastAsia" w:ascii="宋体" w:hAnsi="宋体" w:eastAsia="宋体"/>
          <w:sz w:val="21"/>
          <w:szCs w:val="21"/>
          <w:highlight w:val="none"/>
        </w:rPr>
        <w:t xml:space="preserve">组织的招标活动。</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1.2本次招标活动及因本次招标产生的合同受中国法律制约和保护。</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1.3本招标文件的解释权属于</w:t>
      </w:r>
      <w:r>
        <w:rPr>
          <w:rFonts w:hint="eastAsia" w:ascii="宋体" w:hAnsi="宋体" w:eastAsia="宋体"/>
          <w:sz w:val="21"/>
          <w:szCs w:val="21"/>
          <w:highlight w:val="none"/>
          <w:lang w:eastAsia="zh-CN"/>
        </w:rPr>
        <w:t xml:space="preserve">苏州嘉泓瑞项目管理咨询有限公司</w:t>
      </w:r>
      <w:r>
        <w:rPr>
          <w:rFonts w:hint="eastAsia" w:ascii="宋体" w:hAnsi="宋体" w:eastAsia="宋体"/>
          <w:sz w:val="21"/>
          <w:szCs w:val="21"/>
          <w:highlight w:val="none"/>
        </w:rPr>
        <w:t xml:space="preserve">。</w:t>
      </w:r>
      <w:r/>
    </w:p>
    <w:p>
      <w:pPr>
        <w:numPr>
          <w:ilvl w:val="0"/>
          <w:numId w:val="4"/>
        </w:numPr>
        <w:spacing w:line="400" w:lineRule="exact"/>
        <w:rPr>
          <w:rFonts w:ascii="宋体" w:hAnsi="宋体" w:eastAsia="宋体"/>
          <w:b/>
          <w:sz w:val="21"/>
          <w:szCs w:val="21"/>
          <w:highlight w:val="none"/>
        </w:rPr>
      </w:pPr>
      <w:r>
        <w:rPr>
          <w:rFonts w:hint="eastAsia" w:ascii="宋体" w:hAnsi="宋体" w:eastAsia="宋体"/>
          <w:b/>
          <w:sz w:val="21"/>
          <w:szCs w:val="21"/>
          <w:highlight w:val="none"/>
        </w:rPr>
        <w:t xml:space="preserve">词语释义</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2.1.采购人：指依法进行政府采购的国家机关、事业单位、团体组织。</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2.2.供应商：指向采购人提供货物、工程或服务的法人、其他组织或者自然人。</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2.3.投标人：指参加政府采购货物服务投标活动的供应商。</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2.4.采购代理机构：指依法接受采购人委托，从事货物、工程和服务等政府采购招标代理业务的社会中介机构。</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2.5.招标代理机构：采购人及采购代理机构的统称。</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2.6.评标委员会：是指在招标投标和政府采购活动中，依法由采购人代表和有关技术、经济等方面的专家组建，负责对投标文件进行评审并提出评审意见的临时性权威机构。</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2.7.响应：投标人根据采购人或采购代理机构发售的招标文件，编制投标文件并按规定投标的行为。</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2.8.知识产权：指专利权、商标权、著作权等无形财产专有权的统称。</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2.9.天：日历日。</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2.10.服务地点：合同中明确约定的乙方履行服务的最终地点。</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2.11.不可抗力：不能预见、不能避免并且不能克服的客观情况。</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2.12.实质性响应：满足有关本次采购标的、数量、质量、价款或者报酬、履行期限、履行地点和方式、违约责任和解决争议方法等要求。</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2.13.书面形式：指书面文字、合同书、信件和传真等可以有形地表现所载内容的形式。</w:t>
      </w:r>
      <w:r/>
    </w:p>
    <w:p>
      <w:pPr>
        <w:numPr>
          <w:ilvl w:val="0"/>
          <w:numId w:val="3"/>
        </w:numPr>
        <w:spacing w:line="400" w:lineRule="exact"/>
        <w:rPr>
          <w:rFonts w:ascii="宋体" w:hAnsi="宋体" w:eastAsia="宋体"/>
          <w:b/>
          <w:sz w:val="21"/>
          <w:szCs w:val="21"/>
          <w:highlight w:val="none"/>
        </w:rPr>
      </w:pPr>
      <w:r>
        <w:rPr>
          <w:rFonts w:hint="eastAsia" w:ascii="宋体" w:hAnsi="宋体" w:eastAsia="宋体"/>
          <w:b/>
          <w:sz w:val="21"/>
          <w:szCs w:val="21"/>
          <w:highlight w:val="none"/>
        </w:rPr>
        <w:t xml:space="preserve">投标人</w:t>
      </w:r>
      <w:r/>
    </w:p>
    <w:p>
      <w:pPr>
        <w:numPr>
          <w:ilvl w:val="0"/>
          <w:numId w:val="4"/>
        </w:numPr>
        <w:spacing w:line="400" w:lineRule="exact"/>
        <w:rPr>
          <w:rFonts w:ascii="宋体" w:hAnsi="宋体" w:eastAsia="宋体"/>
          <w:b/>
          <w:sz w:val="21"/>
          <w:szCs w:val="21"/>
          <w:highlight w:val="none"/>
        </w:rPr>
      </w:pPr>
      <w:r>
        <w:rPr>
          <w:rFonts w:hint="eastAsia" w:ascii="宋体" w:hAnsi="宋体" w:eastAsia="宋体"/>
          <w:b/>
          <w:sz w:val="21"/>
          <w:szCs w:val="21"/>
          <w:highlight w:val="none"/>
        </w:rPr>
        <w:t xml:space="preserve">合格投标人的基本条件</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符合《中华人民共和国政府采购法》第二十二条之规定。</w:t>
      </w:r>
      <w:r/>
    </w:p>
    <w:p>
      <w:pPr>
        <w:numPr>
          <w:ilvl w:val="0"/>
          <w:numId w:val="4"/>
        </w:numPr>
        <w:spacing w:line="400" w:lineRule="exact"/>
        <w:rPr>
          <w:rFonts w:ascii="宋体" w:hAnsi="宋体" w:eastAsia="宋体"/>
          <w:b/>
          <w:sz w:val="21"/>
          <w:szCs w:val="21"/>
          <w:highlight w:val="none"/>
        </w:rPr>
      </w:pPr>
      <w:r>
        <w:rPr>
          <w:rFonts w:hint="eastAsia" w:ascii="宋体" w:hAnsi="宋体" w:eastAsia="宋体"/>
          <w:b/>
          <w:sz w:val="21"/>
          <w:szCs w:val="21"/>
          <w:highlight w:val="none"/>
        </w:rPr>
        <w:t xml:space="preserve">合格投标人的特定条件</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详见投标人资格要求。</w:t>
      </w:r>
      <w:r/>
    </w:p>
    <w:p>
      <w:pPr>
        <w:numPr>
          <w:ilvl w:val="0"/>
          <w:numId w:val="4"/>
        </w:numPr>
        <w:spacing w:line="400" w:lineRule="exact"/>
        <w:rPr>
          <w:rFonts w:ascii="宋体" w:hAnsi="宋体" w:eastAsia="宋体"/>
          <w:b/>
          <w:bCs/>
          <w:sz w:val="21"/>
          <w:szCs w:val="21"/>
          <w:highlight w:val="none"/>
        </w:rPr>
      </w:pPr>
      <w:r>
        <w:rPr>
          <w:rFonts w:hint="eastAsia" w:ascii="宋体" w:hAnsi="宋体" w:eastAsia="宋体"/>
          <w:b/>
          <w:bCs/>
          <w:sz w:val="21"/>
          <w:szCs w:val="21"/>
          <w:highlight w:val="none"/>
        </w:rPr>
        <w:t xml:space="preserve">投标人必须从</w:t>
      </w:r>
      <w:r>
        <w:rPr>
          <w:rFonts w:hint="eastAsia" w:ascii="宋体" w:hAnsi="宋体" w:eastAsia="宋体"/>
          <w:b/>
          <w:sz w:val="21"/>
          <w:szCs w:val="21"/>
          <w:highlight w:val="none"/>
        </w:rPr>
        <w:t xml:space="preserve">“苏采云”系统（网址：http://jszfcg.jsczt.cn/）系统进行报名，否则不能参加本次招标活动。</w:t>
      </w:r>
      <w:r/>
    </w:p>
    <w:p>
      <w:pPr>
        <w:numPr>
          <w:ilvl w:val="0"/>
          <w:numId w:val="4"/>
        </w:numPr>
        <w:spacing w:line="400" w:lineRule="exact"/>
        <w:rPr>
          <w:rFonts w:ascii="宋体" w:hAnsi="宋体" w:eastAsia="宋体"/>
          <w:b/>
          <w:sz w:val="21"/>
          <w:szCs w:val="21"/>
          <w:highlight w:val="none"/>
        </w:rPr>
      </w:pPr>
      <w:r>
        <w:rPr>
          <w:rFonts w:hint="eastAsia" w:ascii="宋体" w:hAnsi="宋体" w:eastAsia="宋体"/>
          <w:b/>
          <w:sz w:val="21"/>
          <w:szCs w:val="21"/>
          <w:highlight w:val="none"/>
        </w:rPr>
        <w:t xml:space="preserve">投标人代表</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指全权代表投标人参加投标活动并签署投标文件的人，如果投标人代表不是法人代表，须持有《法定代表人授权委托书》（详见统一格式）。</w:t>
      </w:r>
      <w:r/>
    </w:p>
    <w:p>
      <w:pPr>
        <w:numPr>
          <w:ilvl w:val="0"/>
          <w:numId w:val="4"/>
        </w:numPr>
        <w:spacing w:line="400" w:lineRule="exact"/>
        <w:rPr>
          <w:rFonts w:ascii="宋体" w:hAnsi="宋体" w:eastAsia="宋体"/>
          <w:b/>
          <w:sz w:val="21"/>
          <w:szCs w:val="21"/>
          <w:highlight w:val="none"/>
        </w:rPr>
      </w:pPr>
      <w:r>
        <w:rPr>
          <w:rFonts w:hint="eastAsia" w:ascii="宋体" w:hAnsi="宋体" w:eastAsia="宋体"/>
          <w:b/>
          <w:sz w:val="21"/>
          <w:szCs w:val="21"/>
          <w:highlight w:val="none"/>
        </w:rPr>
        <w:t xml:space="preserve">联合投标</w:t>
      </w:r>
      <w:r/>
    </w:p>
    <w:p>
      <w:pPr>
        <w:ind w:firstLine="422"/>
        <w:spacing w:line="400" w:lineRule="exact"/>
        <w:rPr>
          <w:rFonts w:ascii="宋体" w:hAnsi="宋体" w:eastAsia="宋体"/>
          <w:b/>
          <w:bCs/>
          <w:sz w:val="21"/>
          <w:szCs w:val="21"/>
          <w:highlight w:val="none"/>
        </w:rPr>
      </w:pPr>
      <w:r>
        <w:rPr>
          <w:rFonts w:hint="eastAsia" w:ascii="宋体" w:hAnsi="宋体" w:eastAsia="宋体"/>
          <w:b/>
          <w:bCs/>
          <w:sz w:val="21"/>
          <w:szCs w:val="21"/>
          <w:highlight w:val="none"/>
        </w:rPr>
        <w:t xml:space="preserve">本项目不接受联合体投标。</w:t>
      </w:r>
      <w:r/>
    </w:p>
    <w:p>
      <w:pPr>
        <w:numPr>
          <w:ilvl w:val="0"/>
          <w:numId w:val="4"/>
        </w:numPr>
        <w:spacing w:line="400" w:lineRule="exact"/>
        <w:rPr>
          <w:rFonts w:ascii="宋体" w:hAnsi="宋体" w:eastAsia="宋体"/>
          <w:b/>
          <w:sz w:val="21"/>
          <w:szCs w:val="21"/>
          <w:highlight w:val="none"/>
        </w:rPr>
      </w:pPr>
      <w:r>
        <w:rPr>
          <w:rFonts w:hint="eastAsia" w:ascii="宋体" w:hAnsi="宋体" w:eastAsia="宋体"/>
          <w:b/>
          <w:sz w:val="21"/>
          <w:szCs w:val="21"/>
          <w:highlight w:val="none"/>
        </w:rPr>
        <w:t xml:space="preserve">投标费用</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投标人应自行承担所有准备及参加投标的相关费用。不论投标结果如何，采购人和采购代理机构在任何情况下均无义务也无责任承担这些费用。</w:t>
      </w:r>
      <w:r/>
    </w:p>
    <w:p>
      <w:pPr>
        <w:numPr>
          <w:ilvl w:val="0"/>
          <w:numId w:val="3"/>
        </w:numPr>
        <w:spacing w:line="400" w:lineRule="exact"/>
        <w:rPr>
          <w:rFonts w:ascii="宋体" w:hAnsi="宋体" w:eastAsia="宋体"/>
          <w:b/>
          <w:sz w:val="21"/>
          <w:szCs w:val="21"/>
          <w:highlight w:val="none"/>
        </w:rPr>
      </w:pPr>
      <w:r>
        <w:rPr>
          <w:rFonts w:hint="eastAsia" w:ascii="宋体" w:hAnsi="宋体" w:eastAsia="宋体"/>
          <w:b/>
          <w:sz w:val="21"/>
          <w:szCs w:val="21"/>
          <w:highlight w:val="none"/>
        </w:rPr>
        <w:t xml:space="preserve">招标文件说明</w:t>
      </w:r>
      <w:r/>
    </w:p>
    <w:p>
      <w:pPr>
        <w:numPr>
          <w:ilvl w:val="0"/>
          <w:numId w:val="4"/>
        </w:numPr>
        <w:spacing w:line="400" w:lineRule="exact"/>
        <w:rPr>
          <w:rFonts w:ascii="宋体" w:hAnsi="宋体" w:eastAsia="宋体"/>
          <w:b/>
          <w:sz w:val="21"/>
          <w:szCs w:val="21"/>
          <w:highlight w:val="none"/>
        </w:rPr>
      </w:pPr>
      <w:r>
        <w:rPr>
          <w:rFonts w:hint="eastAsia" w:ascii="宋体" w:hAnsi="宋体" w:eastAsia="宋体"/>
          <w:b/>
          <w:sz w:val="21"/>
          <w:szCs w:val="21"/>
          <w:highlight w:val="none"/>
        </w:rPr>
        <w:t xml:space="preserve">招标文件</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9.1.招标文件由招标文件目录所列内容组成，投标人获取招标文件后，应仔细检查招标文件的所有内容，如有残缺等问题应在获取招标文件规定时间内向招标代理机构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9.2.招标文件及其更正文件不是直接从指定媒介获得的，招标代理机构对招标文件及其补遗的真实性、完整性不承担任何责任。</w:t>
      </w:r>
      <w:r/>
    </w:p>
    <w:p>
      <w:pPr>
        <w:numPr>
          <w:ilvl w:val="0"/>
          <w:numId w:val="4"/>
        </w:numPr>
        <w:spacing w:line="400" w:lineRule="exact"/>
        <w:rPr>
          <w:rFonts w:ascii="宋体" w:hAnsi="宋体" w:eastAsia="宋体"/>
          <w:b/>
          <w:sz w:val="21"/>
          <w:szCs w:val="21"/>
          <w:highlight w:val="none"/>
        </w:rPr>
      </w:pPr>
      <w:r>
        <w:rPr>
          <w:rFonts w:hint="eastAsia" w:ascii="宋体" w:hAnsi="宋体" w:eastAsia="宋体"/>
          <w:b/>
          <w:sz w:val="21"/>
          <w:szCs w:val="21"/>
          <w:highlight w:val="none"/>
        </w:rPr>
        <w:t xml:space="preserve">现场勘察</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10.1.招标人将不组织投标人进行集中勘察现场，投标人可自行对有关现场和周围环境进行勘察，以获取编制投标文件和签署合同所需的信息。勘察现场所发生的费用由投标人自己承担。</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10.2.招标代理机构向投标人提供的有关现场的资料和数据，是招标代理机构现有的并认为能使投标人可利用的资料。招标代理机构对投标人由此而做出的推论、理解和结论概不负责。</w:t>
      </w:r>
      <w:r/>
    </w:p>
    <w:p>
      <w:pPr>
        <w:numPr>
          <w:ilvl w:val="0"/>
          <w:numId w:val="4"/>
        </w:numPr>
        <w:spacing w:line="400" w:lineRule="exact"/>
        <w:rPr>
          <w:rFonts w:ascii="宋体" w:hAnsi="宋体" w:eastAsia="宋体"/>
          <w:b/>
          <w:sz w:val="21"/>
          <w:szCs w:val="21"/>
          <w:highlight w:val="none"/>
        </w:rPr>
      </w:pPr>
      <w:r>
        <w:rPr>
          <w:rFonts w:hint="eastAsia" w:ascii="宋体" w:hAnsi="宋体" w:eastAsia="宋体"/>
          <w:b/>
          <w:sz w:val="21"/>
          <w:szCs w:val="21"/>
          <w:highlight w:val="none"/>
        </w:rPr>
        <w:t xml:space="preserve">招标文件的澄清和修改</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11.1.投标人在获取招标文件后，若有问题需要询问和澄清，应按前规定提出，澄清和提疑须以书面形式向采购代理机构提出，采购代理机构将以书面形式的方式予以解答（包括对询问的解释，但不说明来源），答复将送给所有招标文件的收受人。</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11.2.迟于前附表规定的询问和提交的疑问，采购人和采购代理机构有权拒绝回答，也不承担由此带来的对投标人投标结果的影响。</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11.3.在投标截止时间15日前，招标代理机构无论出于自己的考虑，还是出于对投标人提问的澄清，均可对已发出的招标文件进行必要澄清或者修改。</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11.4.为使投标人有足够的时间按招标文件的修改要求考虑修正投标文件，或出于其他原因，招标代理机构有权推迟投标截止日期和开标日期，将此变更通知所有招标文件的收受人。</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11.5.招标文件的更正（含澄清、修改等）内容与原招标文件在同一内容上表述不一致时，以发出日期最接近开标时间的公告为准。</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11.6.招标文件的更正（含澄清、修改等）内容将在财政部门指定的政府采购信息发布媒体上发布，作为招标文件的组成部分，对投标人起约束作用。</w:t>
      </w:r>
      <w:r/>
    </w:p>
    <w:p>
      <w:pPr>
        <w:numPr>
          <w:ilvl w:val="0"/>
          <w:numId w:val="3"/>
        </w:numPr>
        <w:spacing w:line="400" w:lineRule="exact"/>
        <w:rPr>
          <w:rFonts w:ascii="宋体" w:hAnsi="宋体" w:eastAsia="宋体"/>
          <w:b/>
          <w:sz w:val="21"/>
          <w:szCs w:val="21"/>
          <w:highlight w:val="none"/>
        </w:rPr>
      </w:pPr>
      <w:r>
        <w:rPr>
          <w:rFonts w:hint="eastAsia" w:ascii="宋体" w:hAnsi="宋体" w:eastAsia="宋体"/>
          <w:b/>
          <w:sz w:val="21"/>
          <w:szCs w:val="21"/>
          <w:highlight w:val="none"/>
        </w:rPr>
        <w:t xml:space="preserve">投标文件说明</w:t>
      </w:r>
      <w:r/>
    </w:p>
    <w:p>
      <w:pPr>
        <w:numPr>
          <w:ilvl w:val="0"/>
          <w:numId w:val="4"/>
        </w:numPr>
        <w:spacing w:line="400" w:lineRule="exact"/>
        <w:rPr>
          <w:rFonts w:ascii="宋体" w:hAnsi="宋体" w:eastAsia="宋体"/>
          <w:b/>
          <w:sz w:val="21"/>
          <w:szCs w:val="21"/>
          <w:highlight w:val="none"/>
        </w:rPr>
      </w:pPr>
      <w:r>
        <w:rPr>
          <w:rFonts w:hint="eastAsia" w:ascii="宋体" w:hAnsi="宋体" w:eastAsia="宋体"/>
          <w:b/>
          <w:sz w:val="21"/>
          <w:szCs w:val="21"/>
          <w:highlight w:val="none"/>
        </w:rPr>
        <w:t xml:space="preserve">投标文件计量单位和使用文字</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12.1.投标文件中所使用的计量单位，除招标文件中有特殊要求外，均应使用中华人民共和国法定计量单位。</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代理机构概不负责。</w:t>
      </w:r>
      <w:r/>
    </w:p>
    <w:p>
      <w:pPr>
        <w:numPr>
          <w:ilvl w:val="0"/>
          <w:numId w:val="4"/>
        </w:numPr>
        <w:spacing w:line="400" w:lineRule="exact"/>
        <w:rPr>
          <w:rFonts w:ascii="宋体" w:hAnsi="宋体" w:eastAsia="宋体"/>
          <w:b/>
          <w:sz w:val="21"/>
          <w:szCs w:val="21"/>
          <w:highlight w:val="none"/>
        </w:rPr>
      </w:pPr>
      <w:r/>
      <w:bookmarkStart w:id="15" w:name="_Toc217446047"/>
      <w:r>
        <w:rPr>
          <w:rFonts w:hint="eastAsia" w:ascii="宋体" w:hAnsi="宋体" w:eastAsia="宋体"/>
          <w:b/>
          <w:sz w:val="21"/>
          <w:szCs w:val="21"/>
          <w:highlight w:val="none"/>
        </w:rPr>
        <w:t xml:space="preserve">知识产权</w:t>
      </w:r>
      <w:bookmarkEnd w:id="15"/>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numPr>
          <w:ilvl w:val="0"/>
          <w:numId w:val="4"/>
        </w:numPr>
        <w:spacing w:line="400" w:lineRule="exact"/>
        <w:rPr>
          <w:rFonts w:hint="eastAsia" w:ascii="宋体" w:hAnsi="宋体" w:eastAsia="宋体"/>
          <w:b/>
          <w:sz w:val="21"/>
          <w:szCs w:val="21"/>
          <w:highlight w:val="none"/>
        </w:rPr>
      </w:pPr>
      <w:r>
        <w:rPr>
          <w:rFonts w:hint="eastAsia" w:ascii="宋体" w:hAnsi="宋体" w:eastAsia="宋体"/>
          <w:b/>
          <w:sz w:val="21"/>
          <w:szCs w:val="21"/>
          <w:highlight w:val="none"/>
        </w:rPr>
        <w:t xml:space="preserve">投标文件的组成和顺序</w:t>
      </w:r>
      <w:r/>
    </w:p>
    <w:p>
      <w:pPr>
        <w:ind w:left="0" w:firstLine="422"/>
        <w:spacing w:line="360" w:lineRule="auto"/>
        <w:widowControl/>
        <w:rPr>
          <w:rFonts w:ascii="宋体" w:hAnsi="宋体" w:eastAsia="宋体" w:cs="宋体"/>
          <w:b/>
          <w:sz w:val="21"/>
          <w:szCs w:val="21"/>
          <w:highlight w:val="none"/>
        </w:rPr>
      </w:pPr>
      <w:r>
        <w:rPr>
          <w:rFonts w:hint="eastAsia" w:ascii="宋体" w:hAnsi="宋体" w:eastAsia="宋体" w:cs="宋体"/>
          <w:b/>
          <w:sz w:val="21"/>
          <w:szCs w:val="21"/>
          <w:highlight w:val="none"/>
        </w:rPr>
        <w:t xml:space="preserve">1</w:t>
      </w:r>
      <w:r>
        <w:rPr>
          <w:rFonts w:ascii="宋体" w:hAnsi="宋体" w:eastAsia="宋体" w:cs="宋体"/>
          <w:b/>
          <w:sz w:val="21"/>
          <w:szCs w:val="21"/>
          <w:highlight w:val="none"/>
        </w:rPr>
        <w:t xml:space="preserve">4.1</w:t>
      </w:r>
      <w:r>
        <w:rPr>
          <w:rFonts w:hint="eastAsia" w:ascii="宋体" w:hAnsi="宋体" w:eastAsia="宋体" w:cs="宋体"/>
          <w:b/>
          <w:sz w:val="21"/>
          <w:szCs w:val="21"/>
          <w:highlight w:val="none"/>
        </w:rPr>
        <w:t xml:space="preserve">投标文件</w:t>
      </w:r>
      <w:r/>
    </w:p>
    <w:p>
      <w:pPr>
        <w:ind w:left="0" w:firstLine="422"/>
        <w:spacing w:line="360" w:lineRule="auto"/>
        <w:widowControl/>
        <w:rPr>
          <w:rFonts w:ascii="宋体" w:hAnsi="宋体" w:eastAsia="宋体" w:cs="宋体"/>
          <w:b/>
          <w:sz w:val="21"/>
          <w:szCs w:val="21"/>
          <w:highlight w:val="none"/>
        </w:rPr>
      </w:pPr>
      <w:r>
        <w:rPr>
          <w:rFonts w:hint="eastAsia" w:ascii="宋体" w:hAnsi="宋体" w:eastAsia="宋体" w:cs="宋体"/>
          <w:b/>
          <w:sz w:val="21"/>
          <w:szCs w:val="21"/>
          <w:highlight w:val="none"/>
        </w:rPr>
        <w:t xml:space="preserve">1</w:t>
      </w:r>
      <w:r>
        <w:rPr>
          <w:rFonts w:ascii="宋体" w:hAnsi="宋体" w:eastAsia="宋体" w:cs="宋体"/>
          <w:b/>
          <w:sz w:val="21"/>
          <w:szCs w:val="21"/>
          <w:highlight w:val="none"/>
        </w:rPr>
        <w:t xml:space="preserve">4.1</w:t>
      </w:r>
      <w:r>
        <w:rPr>
          <w:rFonts w:hint="eastAsia" w:ascii="宋体" w:hAnsi="宋体" w:eastAsia="宋体" w:cs="宋体"/>
          <w:b/>
          <w:sz w:val="21"/>
          <w:szCs w:val="21"/>
          <w:highlight w:val="none"/>
        </w:rPr>
        <w:t xml:space="preserve">.1封面</w:t>
      </w:r>
      <w:r/>
    </w:p>
    <w:p>
      <w:pPr>
        <w:ind w:left="0" w:firstLine="422"/>
        <w:spacing w:line="360" w:lineRule="auto"/>
        <w:widowControl/>
        <w:rPr>
          <w:rFonts w:ascii="宋体" w:hAnsi="宋体" w:eastAsia="宋体" w:cs="宋体"/>
          <w:sz w:val="21"/>
          <w:szCs w:val="21"/>
          <w:highlight w:val="none"/>
        </w:rPr>
      </w:pPr>
      <w:r>
        <w:rPr>
          <w:rFonts w:hint="eastAsia" w:ascii="宋体" w:hAnsi="宋体" w:eastAsia="宋体" w:cs="宋体"/>
          <w:b/>
          <w:sz w:val="21"/>
          <w:szCs w:val="21"/>
          <w:highlight w:val="none"/>
        </w:rPr>
        <w:t xml:space="preserve">1</w:t>
      </w:r>
      <w:r>
        <w:rPr>
          <w:rFonts w:ascii="宋体" w:hAnsi="宋体" w:eastAsia="宋体" w:cs="宋体"/>
          <w:b/>
          <w:sz w:val="21"/>
          <w:szCs w:val="21"/>
          <w:highlight w:val="none"/>
        </w:rPr>
        <w:t xml:space="preserve">4.1</w:t>
      </w:r>
      <w:r>
        <w:rPr>
          <w:rFonts w:hint="eastAsia" w:ascii="宋体" w:hAnsi="宋体" w:eastAsia="宋体" w:cs="宋体"/>
          <w:b/>
          <w:sz w:val="21"/>
          <w:szCs w:val="21"/>
          <w:highlight w:val="none"/>
        </w:rPr>
        <w:t xml:space="preserve">.2开标一览表</w:t>
      </w:r>
      <w:r/>
    </w:p>
    <w:p>
      <w:pPr>
        <w:ind w:left="0" w:firstLine="422"/>
        <w:spacing w:line="360" w:lineRule="auto"/>
        <w:widowControl/>
        <w:rPr>
          <w:rFonts w:ascii="宋体" w:hAnsi="宋体" w:eastAsia="宋体" w:cs="宋体"/>
          <w:b/>
          <w:sz w:val="21"/>
          <w:szCs w:val="21"/>
          <w:highlight w:val="none"/>
        </w:rPr>
      </w:pPr>
      <w:r>
        <w:rPr>
          <w:rFonts w:hint="eastAsia" w:ascii="宋体" w:hAnsi="宋体" w:eastAsia="宋体" w:cs="宋体"/>
          <w:b/>
          <w:sz w:val="21"/>
          <w:szCs w:val="21"/>
          <w:highlight w:val="none"/>
        </w:rPr>
        <w:t xml:space="preserve">1</w:t>
      </w:r>
      <w:r>
        <w:rPr>
          <w:rFonts w:ascii="宋体" w:hAnsi="宋体" w:eastAsia="宋体" w:cs="宋体"/>
          <w:b/>
          <w:sz w:val="21"/>
          <w:szCs w:val="21"/>
          <w:highlight w:val="none"/>
        </w:rPr>
        <w:t xml:space="preserve">4.1</w:t>
      </w:r>
      <w:r>
        <w:rPr>
          <w:rFonts w:hint="eastAsia" w:ascii="宋体" w:hAnsi="宋体" w:eastAsia="宋体" w:cs="宋体"/>
          <w:b/>
          <w:sz w:val="21"/>
          <w:szCs w:val="21"/>
          <w:highlight w:val="none"/>
        </w:rPr>
        <w:t xml:space="preserve">.</w:t>
      </w:r>
      <w:r>
        <w:rPr>
          <w:rFonts w:ascii="宋体" w:hAnsi="宋体" w:eastAsia="宋体" w:cs="宋体"/>
          <w:b/>
          <w:sz w:val="21"/>
          <w:szCs w:val="21"/>
          <w:highlight w:val="none"/>
        </w:rPr>
        <w:t xml:space="preserve">3</w:t>
      </w:r>
      <w:r>
        <w:rPr>
          <w:rFonts w:hint="eastAsia" w:ascii="宋体" w:hAnsi="宋体" w:eastAsia="宋体" w:cs="宋体"/>
          <w:b/>
          <w:sz w:val="21"/>
          <w:szCs w:val="21"/>
          <w:highlight w:val="none"/>
        </w:rPr>
        <w:t xml:space="preserve">公开分项报价</w:t>
      </w:r>
      <w:r/>
    </w:p>
    <w:p>
      <w:pPr>
        <w:ind w:left="0" w:firstLine="422"/>
        <w:spacing w:line="360" w:lineRule="auto"/>
        <w:widowControl/>
        <w:rPr>
          <w:rFonts w:ascii="宋体" w:hAnsi="宋体" w:eastAsia="宋体" w:cs="宋体"/>
          <w:b/>
          <w:sz w:val="21"/>
          <w:szCs w:val="21"/>
          <w:highlight w:val="none"/>
        </w:rPr>
      </w:pPr>
      <w:r>
        <w:rPr>
          <w:rFonts w:hint="eastAsia" w:ascii="宋体" w:hAnsi="宋体" w:eastAsia="宋体" w:cs="宋体"/>
          <w:b/>
          <w:sz w:val="21"/>
          <w:szCs w:val="21"/>
          <w:highlight w:val="none"/>
        </w:rPr>
        <w:t xml:space="preserve">1</w:t>
      </w:r>
      <w:r>
        <w:rPr>
          <w:rFonts w:ascii="宋体" w:hAnsi="宋体" w:eastAsia="宋体" w:cs="宋体"/>
          <w:b/>
          <w:sz w:val="21"/>
          <w:szCs w:val="21"/>
          <w:highlight w:val="none"/>
        </w:rPr>
        <w:t xml:space="preserve">4.1</w:t>
      </w:r>
      <w:r>
        <w:rPr>
          <w:rFonts w:hint="eastAsia" w:ascii="宋体" w:hAnsi="宋体" w:eastAsia="宋体" w:cs="宋体"/>
          <w:b/>
          <w:sz w:val="21"/>
          <w:szCs w:val="21"/>
          <w:highlight w:val="none"/>
        </w:rPr>
        <w:t xml:space="preserve">.</w:t>
      </w:r>
      <w:r>
        <w:rPr>
          <w:rFonts w:ascii="宋体" w:hAnsi="宋体" w:eastAsia="宋体" w:cs="宋体"/>
          <w:b/>
          <w:sz w:val="21"/>
          <w:szCs w:val="21"/>
          <w:highlight w:val="none"/>
        </w:rPr>
        <w:t xml:space="preserve">4</w:t>
      </w:r>
      <w:r>
        <w:rPr>
          <w:rFonts w:hint="eastAsia" w:ascii="宋体" w:hAnsi="宋体" w:eastAsia="宋体" w:cs="宋体"/>
          <w:b/>
          <w:sz w:val="21"/>
          <w:szCs w:val="21"/>
          <w:highlight w:val="none"/>
        </w:rPr>
        <w:t xml:space="preserve">资格审查文件</w:t>
      </w:r>
      <w:r/>
    </w:p>
    <w:p>
      <w:pPr>
        <w:ind w:left="0" w:firstLine="420"/>
        <w:jc w:val="both"/>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14.1.4.1关于资格文件的声明函（格式见第三章）；</w:t>
      </w:r>
      <w:r/>
    </w:p>
    <w:p>
      <w:pPr>
        <w:ind w:left="0" w:firstLine="420"/>
        <w:jc w:val="both"/>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14.1.4.2投标人基本情况表（格式见第三章）；</w:t>
      </w:r>
      <w:r/>
    </w:p>
    <w:p>
      <w:pPr>
        <w:ind w:left="0" w:firstLine="420"/>
        <w:jc w:val="both"/>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14.1.4.3投标人法定代表人身份证复印件；</w:t>
      </w:r>
      <w:r/>
    </w:p>
    <w:p>
      <w:pPr>
        <w:ind w:left="0" w:firstLine="420"/>
        <w:jc w:val="both"/>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14.1.4.4法定代表人授权委托书（如有授权，格式见第三章）；</w:t>
      </w:r>
      <w:r/>
    </w:p>
    <w:p>
      <w:pPr>
        <w:ind w:left="0" w:firstLine="420"/>
        <w:jc w:val="both"/>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14.1.4.5投标人授权代理人身份证复印件（如有授权）；</w:t>
      </w:r>
      <w:r/>
    </w:p>
    <w:p>
      <w:pPr>
        <w:ind w:left="0" w:firstLine="420"/>
        <w:jc w:val="left"/>
        <w:spacing w:line="360" w:lineRule="auto"/>
        <w:widowControl w:val="off"/>
        <w:rPr>
          <w:rFonts w:ascii="宋体" w:hAnsi="宋体" w:eastAsia="宋体" w:cs="宋体"/>
          <w:bCs/>
          <w:sz w:val="21"/>
          <w:szCs w:val="21"/>
          <w:highlight w:val="none"/>
        </w:rPr>
      </w:pPr>
      <w:r>
        <w:rPr>
          <w:rFonts w:hint="eastAsia" w:ascii="宋体" w:hAnsi="宋体" w:eastAsia="宋体" w:cs="宋体"/>
          <w:sz w:val="21"/>
          <w:szCs w:val="21"/>
          <w:highlight w:val="none"/>
        </w:rPr>
        <w:t xml:space="preserve">14.1.4.6</w:t>
      </w:r>
      <w:r>
        <w:rPr>
          <w:rFonts w:hint="eastAsia" w:ascii="宋体" w:hAnsi="宋体" w:eastAsia="宋体" w:cs="宋体"/>
          <w:bCs/>
          <w:sz w:val="21"/>
          <w:szCs w:val="21"/>
          <w:highlight w:val="none"/>
        </w:rPr>
        <w:t xml:space="preserve">满足《中华人民共和国政府采购法》第二十二条规定：</w:t>
      </w:r>
      <w:r/>
    </w:p>
    <w:p>
      <w:pPr>
        <w:ind w:left="0" w:firstLine="420"/>
        <w:jc w:val="left"/>
        <w:spacing w:line="360" w:lineRule="auto"/>
        <w:widowControl w:val="off"/>
        <w:rPr>
          <w:rFonts w:ascii="宋体" w:hAnsi="宋体" w:eastAsia="宋体" w:cs="宋体"/>
          <w:bCs/>
          <w:sz w:val="21"/>
          <w:szCs w:val="21"/>
          <w:highlight w:val="none"/>
        </w:rPr>
      </w:pPr>
      <w:r>
        <w:rPr>
          <w:rFonts w:hint="eastAsia" w:ascii="宋体" w:hAnsi="宋体" w:eastAsia="宋体" w:cs="宋体"/>
          <w:sz w:val="21"/>
          <w:szCs w:val="21"/>
          <w:highlight w:val="none"/>
        </w:rPr>
        <w:t xml:space="preserve">14.1.4.6</w:t>
      </w:r>
      <w:r>
        <w:rPr>
          <w:rFonts w:hint="eastAsia" w:ascii="宋体" w:hAnsi="宋体" w:eastAsia="宋体" w:cs="宋体"/>
          <w:bCs/>
          <w:sz w:val="21"/>
          <w:szCs w:val="21"/>
          <w:highlight w:val="none"/>
        </w:rPr>
        <w:t xml:space="preserve">.1具有独立承担民事责任的能力。提供包括法人或者其他组织的营业执照等证明文件，自然人的身份证明；</w:t>
      </w:r>
      <w:r/>
    </w:p>
    <w:p>
      <w:pPr>
        <w:ind w:left="0" w:firstLine="420"/>
        <w:jc w:val="left"/>
        <w:spacing w:line="360" w:lineRule="auto"/>
        <w:widowControl w:val="off"/>
        <w:rPr>
          <w:rFonts w:ascii="宋体" w:hAnsi="宋体" w:eastAsia="宋体" w:cs="宋体"/>
          <w:bCs/>
          <w:sz w:val="21"/>
          <w:szCs w:val="21"/>
          <w:highlight w:val="none"/>
        </w:rPr>
      </w:pPr>
      <w:r>
        <w:rPr>
          <w:rFonts w:hint="eastAsia" w:ascii="宋体" w:hAnsi="宋体" w:eastAsia="宋体" w:cs="宋体"/>
          <w:sz w:val="21"/>
          <w:szCs w:val="21"/>
          <w:highlight w:val="none"/>
        </w:rPr>
        <w:t xml:space="preserve">14.1.4.6</w:t>
      </w:r>
      <w:r>
        <w:rPr>
          <w:rFonts w:hint="eastAsia" w:ascii="宋体" w:hAnsi="宋体" w:eastAsia="宋体" w:cs="宋体"/>
          <w:bCs/>
          <w:sz w:val="21"/>
          <w:szCs w:val="21"/>
          <w:highlight w:val="none"/>
        </w:rPr>
        <w:t xml:space="preserve">.2具有良好的商业信誉和健全的财务会计制度。</w:t>
      </w:r>
      <w:r>
        <w:rPr>
          <w:rFonts w:hint="eastAsia" w:ascii="宋体" w:hAnsi="宋体" w:eastAsia="宋体" w:cs="宋体"/>
          <w:b/>
          <w:sz w:val="21"/>
          <w:szCs w:val="21"/>
          <w:highlight w:val="none"/>
        </w:rPr>
        <w:t xml:space="preserve">（法人应提供最近一期经会计师事务所审计的财务报告，其他组织、自然人及成立未满一年的法人应提供银行出具的资信证明）；</w:t>
      </w:r>
      <w:r/>
    </w:p>
    <w:p>
      <w:pPr>
        <w:ind w:left="0" w:firstLine="420"/>
        <w:jc w:val="left"/>
        <w:spacing w:line="360" w:lineRule="auto"/>
        <w:widowControl w:val="off"/>
        <w:rPr>
          <w:rFonts w:ascii="宋体" w:hAnsi="宋体" w:eastAsia="宋体" w:cs="宋体"/>
          <w:bCs/>
          <w:sz w:val="21"/>
          <w:szCs w:val="21"/>
          <w:highlight w:val="none"/>
        </w:rPr>
      </w:pPr>
      <w:r>
        <w:rPr>
          <w:rFonts w:hint="eastAsia" w:ascii="宋体" w:hAnsi="宋体" w:eastAsia="宋体" w:cs="宋体"/>
          <w:sz w:val="21"/>
          <w:szCs w:val="21"/>
          <w:highlight w:val="none"/>
        </w:rPr>
        <w:t xml:space="preserve">14.1.4.6</w:t>
      </w:r>
      <w:r>
        <w:rPr>
          <w:rFonts w:hint="eastAsia" w:ascii="宋体" w:hAnsi="宋体" w:eastAsia="宋体" w:cs="宋体"/>
          <w:bCs/>
          <w:sz w:val="21"/>
          <w:szCs w:val="21"/>
          <w:highlight w:val="none"/>
        </w:rPr>
        <w:t xml:space="preserve">.3具有履行合同所必需的设备和专业技术能力。提供证明材料或承诺；</w:t>
      </w:r>
      <w:r/>
    </w:p>
    <w:p>
      <w:pPr>
        <w:ind w:left="0" w:firstLine="420"/>
        <w:jc w:val="left"/>
        <w:spacing w:line="360" w:lineRule="auto"/>
        <w:widowControl w:val="off"/>
        <w:rPr>
          <w:rFonts w:ascii="宋体" w:hAnsi="宋体" w:eastAsia="宋体" w:cs="宋体"/>
          <w:bCs/>
          <w:sz w:val="21"/>
          <w:szCs w:val="21"/>
          <w:highlight w:val="none"/>
        </w:rPr>
      </w:pPr>
      <w:r>
        <w:rPr>
          <w:rFonts w:hint="eastAsia" w:ascii="宋体" w:hAnsi="宋体" w:eastAsia="宋体" w:cs="宋体"/>
          <w:sz w:val="21"/>
          <w:szCs w:val="21"/>
          <w:highlight w:val="none"/>
        </w:rPr>
        <w:t xml:space="preserve">14.1.4.6</w:t>
      </w:r>
      <w:r>
        <w:rPr>
          <w:rFonts w:hint="eastAsia" w:ascii="宋体" w:hAnsi="宋体" w:eastAsia="宋体" w:cs="宋体"/>
          <w:bCs/>
          <w:sz w:val="21"/>
          <w:szCs w:val="21"/>
          <w:highlight w:val="none"/>
        </w:rPr>
        <w:t xml:space="preserve">.4有依法缴纳税收和社会保障资金的良好记录。</w:t>
      </w:r>
      <w:r>
        <w:rPr>
          <w:rFonts w:hint="eastAsia" w:ascii="宋体" w:hAnsi="宋体" w:eastAsia="宋体" w:cs="Times New Roman"/>
          <w:b/>
          <w:sz w:val="21"/>
          <w:szCs w:val="21"/>
          <w:highlight w:val="none"/>
        </w:rPr>
        <w:t xml:space="preserve">（投标单位应提供提交投标文件截止时间前一年内至少一个月依法缴纳税收及缴纳社会保障资金的证明材料，如相关主管部门证明或银行代扣证明。投标单位如依法享受缓缴、免缴税收、社会保障资金的应提供相关主管部门出具的证明材料）</w:t>
      </w:r>
      <w:r>
        <w:rPr>
          <w:rFonts w:hint="eastAsia" w:ascii="宋体" w:hAnsi="宋体" w:eastAsia="宋体" w:cs="Times New Roman"/>
          <w:sz w:val="21"/>
          <w:szCs w:val="21"/>
          <w:highlight w:val="none"/>
        </w:rPr>
        <w:t xml:space="preserve">；</w:t>
      </w:r>
      <w:r/>
    </w:p>
    <w:p>
      <w:pPr>
        <w:ind w:left="0" w:firstLine="420"/>
        <w:jc w:val="left"/>
        <w:spacing w:line="360" w:lineRule="auto"/>
        <w:widowControl w:val="off"/>
        <w:rPr>
          <w:rFonts w:ascii="宋体" w:hAnsi="宋体" w:eastAsia="宋体" w:cs="宋体"/>
          <w:bCs/>
          <w:sz w:val="21"/>
          <w:szCs w:val="21"/>
          <w:highlight w:val="none"/>
        </w:rPr>
      </w:pPr>
      <w:r>
        <w:rPr>
          <w:rFonts w:hint="eastAsia" w:ascii="宋体" w:hAnsi="宋体" w:eastAsia="宋体" w:cs="宋体"/>
          <w:sz w:val="21"/>
          <w:szCs w:val="21"/>
          <w:highlight w:val="none"/>
        </w:rPr>
        <w:t xml:space="preserve">14.1.4.6</w:t>
      </w:r>
      <w:r>
        <w:rPr>
          <w:rFonts w:hint="eastAsia" w:ascii="宋体" w:hAnsi="宋体" w:eastAsia="宋体" w:cs="宋体"/>
          <w:bCs/>
          <w:sz w:val="21"/>
          <w:szCs w:val="21"/>
          <w:highlight w:val="none"/>
        </w:rPr>
        <w:t xml:space="preserve">.5参加采购活动前3年内在经营活动中没有重大违法记录的书面声明及网站截图；</w:t>
      </w:r>
      <w:r/>
    </w:p>
    <w:p>
      <w:pPr>
        <w:ind w:left="0" w:firstLine="420"/>
        <w:jc w:val="both"/>
        <w:spacing w:line="360" w:lineRule="auto"/>
        <w:tabs>
          <w:tab w:val="left" w:pos="0" w:leader="none"/>
        </w:tabs>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14.1.4.6</w:t>
      </w:r>
      <w:r>
        <w:rPr>
          <w:rFonts w:hint="eastAsia" w:ascii="宋体" w:hAnsi="宋体" w:eastAsia="宋体" w:cs="宋体"/>
          <w:bCs/>
          <w:sz w:val="21"/>
          <w:szCs w:val="21"/>
          <w:highlight w:val="none"/>
          <w:lang w:val="en-US" w:eastAsia="zh-CN" w:bidi="ar-SA"/>
        </w:rPr>
        <w:t xml:space="preserve">.6法律、行政法规规定的其他条件。承诺符合；</w:t>
      </w:r>
      <w:r/>
    </w:p>
    <w:p>
      <w:pPr>
        <w:ind w:left="0" w:firstLine="42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14.1.4.</w:t>
      </w:r>
      <w:r>
        <w:rPr>
          <w:rFonts w:ascii="宋体" w:hAnsi="宋体" w:eastAsia="宋体" w:cs="宋体"/>
          <w:sz w:val="21"/>
          <w:szCs w:val="21"/>
          <w:highlight w:val="none"/>
        </w:rPr>
        <w:t xml:space="preserve">7</w:t>
      </w:r>
      <w:r>
        <w:rPr>
          <w:rFonts w:hint="eastAsia" w:ascii="宋体" w:hAnsi="宋体" w:eastAsia="宋体" w:cs="宋体"/>
          <w:sz w:val="21"/>
          <w:szCs w:val="21"/>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sz w:val="21"/>
          <w:szCs w:val="21"/>
          <w:highlight w:val="none"/>
          <w:lang w:eastAsia="zh-CN"/>
        </w:rPr>
        <w:t xml:space="preserve">；</w:t>
      </w:r>
      <w:r/>
    </w:p>
    <w:p>
      <w:pPr>
        <w:ind w:left="0" w:firstLine="420"/>
        <w:spacing w:line="360" w:lineRule="auto"/>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14.1.4.8</w:t>
      </w:r>
      <w:r>
        <w:rPr>
          <w:rFonts w:hint="eastAsia" w:ascii="宋体" w:hAnsi="宋体" w:eastAsia="宋体" w:cs="宋体"/>
          <w:sz w:val="21"/>
          <w:szCs w:val="21"/>
          <w:highlight w:val="none"/>
        </w:rPr>
        <w:t xml:space="preserve">其它有关资格证明文件。</w:t>
      </w:r>
      <w:r/>
    </w:p>
    <w:p>
      <w:pPr>
        <w:ind w:left="0" w:firstLine="422"/>
        <w:spacing w:line="360" w:lineRule="auto"/>
        <w:widowControl/>
        <w:rPr>
          <w:rFonts w:ascii="宋体" w:hAnsi="宋体" w:eastAsia="宋体" w:cs="宋体"/>
          <w:b/>
          <w:sz w:val="21"/>
          <w:szCs w:val="21"/>
          <w:highlight w:val="none"/>
        </w:rPr>
      </w:pPr>
      <w:r>
        <w:rPr>
          <w:rFonts w:hint="eastAsia" w:ascii="宋体" w:hAnsi="宋体" w:eastAsia="宋体" w:cs="宋体"/>
          <w:b/>
          <w:sz w:val="21"/>
          <w:szCs w:val="21"/>
          <w:highlight w:val="none"/>
        </w:rPr>
        <w:t xml:space="preserve">1</w:t>
      </w:r>
      <w:r>
        <w:rPr>
          <w:rFonts w:ascii="宋体" w:hAnsi="宋体" w:eastAsia="宋体" w:cs="宋体"/>
          <w:b/>
          <w:sz w:val="21"/>
          <w:szCs w:val="21"/>
          <w:highlight w:val="none"/>
        </w:rPr>
        <w:t xml:space="preserve">4.1</w:t>
      </w:r>
      <w:r>
        <w:rPr>
          <w:rFonts w:hint="eastAsia" w:ascii="宋体" w:hAnsi="宋体" w:eastAsia="宋体" w:cs="宋体"/>
          <w:b/>
          <w:sz w:val="21"/>
          <w:szCs w:val="21"/>
          <w:highlight w:val="none"/>
        </w:rPr>
        <w:t xml:space="preserve">.</w:t>
      </w:r>
      <w:r>
        <w:rPr>
          <w:rFonts w:ascii="宋体" w:hAnsi="宋体" w:eastAsia="宋体" w:cs="宋体"/>
          <w:b/>
          <w:sz w:val="21"/>
          <w:szCs w:val="21"/>
          <w:highlight w:val="none"/>
        </w:rPr>
        <w:t xml:space="preserve">5</w:t>
      </w:r>
      <w:r>
        <w:rPr>
          <w:rFonts w:hint="eastAsia" w:ascii="宋体" w:hAnsi="宋体" w:eastAsia="宋体" w:cs="宋体"/>
          <w:b/>
          <w:sz w:val="21"/>
          <w:szCs w:val="21"/>
          <w:highlight w:val="none"/>
        </w:rPr>
        <w:t xml:space="preserve">符合性审查文件</w:t>
      </w:r>
      <w:r/>
    </w:p>
    <w:p>
      <w:pPr>
        <w:ind w:left="0" w:firstLine="420"/>
        <w:jc w:val="both"/>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rPr>
          <w:rFonts w:ascii="宋体" w:hAnsi="宋体" w:eastAsia="宋体" w:cs="宋体"/>
          <w:sz w:val="21"/>
          <w:szCs w:val="21"/>
          <w:highlight w:val="none"/>
          <w:lang w:val="en-US" w:eastAsia="zh-CN" w:bidi="ar-SA"/>
        </w:rPr>
        <w:t xml:space="preserve">4.1</w:t>
      </w:r>
      <w:r>
        <w:rPr>
          <w:rFonts w:hint="eastAsia" w:ascii="宋体" w:hAnsi="宋体" w:eastAsia="宋体" w:cs="宋体"/>
          <w:sz w:val="21"/>
          <w:szCs w:val="21"/>
          <w:highlight w:val="none"/>
          <w:lang w:val="en-US" w:eastAsia="zh-CN" w:bidi="ar-SA"/>
        </w:rPr>
        <w:t xml:space="preserve">.</w:t>
      </w:r>
      <w:r>
        <w:rPr>
          <w:rFonts w:ascii="宋体" w:hAnsi="宋体" w:eastAsia="宋体" w:cs="宋体"/>
          <w:sz w:val="21"/>
          <w:szCs w:val="21"/>
          <w:highlight w:val="none"/>
          <w:lang w:val="en-US" w:eastAsia="zh-CN" w:bidi="ar-SA"/>
        </w:rPr>
        <w:t xml:space="preserve">5.1</w:t>
      </w:r>
      <w:r>
        <w:rPr>
          <w:rFonts w:hint="eastAsia" w:ascii="宋体" w:hAnsi="宋体" w:eastAsia="宋体" w:cs="宋体"/>
          <w:sz w:val="21"/>
          <w:szCs w:val="21"/>
          <w:highlight w:val="none"/>
          <w:lang w:val="en-US" w:eastAsia="zh-CN" w:bidi="ar-SA"/>
        </w:rPr>
        <w:t xml:space="preserve">投标函（格式见第三章）；</w:t>
      </w:r>
      <w:r/>
    </w:p>
    <w:p>
      <w:pPr>
        <w:ind w:left="0" w:firstLine="408"/>
        <w:spacing w:line="360" w:lineRule="auto"/>
        <w:widowControl/>
        <w:rPr>
          <w:rFonts w:ascii="宋体" w:hAnsi="宋体" w:eastAsia="宋体" w:cs="宋体"/>
          <w:sz w:val="21"/>
          <w:szCs w:val="21"/>
          <w:highlight w:val="none"/>
        </w:rPr>
      </w:pPr>
      <w:r>
        <w:rPr>
          <w:rFonts w:ascii="宋体" w:hAnsi="宋体" w:eastAsia="宋体" w:cs="宋体"/>
          <w:sz w:val="21"/>
          <w:szCs w:val="21"/>
          <w:highlight w:val="none"/>
        </w:rPr>
        <w:t xml:space="preserve">14.1.5.2</w:t>
      </w:r>
      <w:r>
        <w:rPr>
          <w:rFonts w:hint="eastAsia" w:ascii="宋体" w:hAnsi="宋体" w:eastAsia="宋体" w:cs="宋体"/>
          <w:sz w:val="21"/>
          <w:szCs w:val="21"/>
          <w:highlight w:val="none"/>
        </w:rPr>
        <w:t xml:space="preserve">偏离表（格式见第三章）；</w:t>
      </w:r>
      <w:r/>
    </w:p>
    <w:p>
      <w:pPr>
        <w:ind w:left="0" w:firstLine="408"/>
        <w:spacing w:line="360"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ascii="宋体" w:hAnsi="宋体" w:eastAsia="宋体" w:cs="宋体"/>
          <w:sz w:val="21"/>
          <w:szCs w:val="21"/>
          <w:highlight w:val="none"/>
        </w:rPr>
        <w:t xml:space="preserve">4.1.5.</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投标保证承诺书（格式见第三章）；</w:t>
      </w:r>
      <w:r/>
    </w:p>
    <w:p>
      <w:pPr>
        <w:ind w:left="0" w:firstLine="408"/>
        <w:spacing w:line="360"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14.1.5.</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其他有关符合性证明的文件；</w:t>
      </w:r>
      <w:r/>
    </w:p>
    <w:p>
      <w:pPr>
        <w:ind w:left="0" w:firstLine="408"/>
        <w:spacing w:line="360" w:lineRule="auto"/>
        <w:widowControl/>
        <w:rPr>
          <w:rFonts w:ascii="宋体" w:hAnsi="宋体" w:eastAsia="宋体" w:cs="宋体"/>
          <w:b/>
          <w:sz w:val="21"/>
          <w:szCs w:val="21"/>
          <w:highlight w:val="none"/>
        </w:rPr>
      </w:pPr>
      <w:r>
        <w:rPr>
          <w:rFonts w:hint="eastAsia" w:ascii="宋体" w:hAnsi="宋体" w:eastAsia="宋体" w:cs="宋体"/>
          <w:b/>
          <w:sz w:val="21"/>
          <w:szCs w:val="21"/>
          <w:highlight w:val="none"/>
        </w:rPr>
        <w:t xml:space="preserve">1</w:t>
      </w:r>
      <w:r>
        <w:rPr>
          <w:rFonts w:ascii="宋体" w:hAnsi="宋体" w:eastAsia="宋体" w:cs="宋体"/>
          <w:b/>
          <w:sz w:val="21"/>
          <w:szCs w:val="21"/>
          <w:highlight w:val="none"/>
        </w:rPr>
        <w:t xml:space="preserve">4.1.6</w:t>
      </w:r>
      <w:r>
        <w:rPr>
          <w:rFonts w:hint="eastAsia" w:ascii="宋体" w:hAnsi="宋体" w:eastAsia="宋体" w:cs="宋体"/>
          <w:b/>
          <w:sz w:val="21"/>
          <w:szCs w:val="21"/>
          <w:highlight w:val="none"/>
        </w:rPr>
        <w:t xml:space="preserve">综合评审文件</w:t>
      </w:r>
      <w:r/>
    </w:p>
    <w:p>
      <w:pPr>
        <w:ind w:left="0" w:firstLine="408"/>
        <w:spacing w:line="360" w:lineRule="auto"/>
        <w:widowControl/>
        <w:rPr>
          <w:rFonts w:ascii="宋体" w:hAnsi="宋体" w:eastAsia="宋体" w:cs="Times New Roman"/>
          <w:sz w:val="21"/>
          <w:szCs w:val="21"/>
          <w:highlight w:val="none"/>
          <w:lang w:val="zh-CN"/>
        </w:rPr>
      </w:pPr>
      <w:r>
        <w:rPr>
          <w:rFonts w:ascii="宋体" w:hAnsi="宋体" w:eastAsia="宋体" w:cs="Times New Roman"/>
          <w:sz w:val="21"/>
          <w:szCs w:val="21"/>
          <w:highlight w:val="none"/>
          <w:lang w:val="zh-CN"/>
        </w:rPr>
        <w:t xml:space="preserve">14.1.6</w:t>
      </w:r>
      <w:r>
        <w:rPr>
          <w:rFonts w:hint="eastAsia" w:ascii="宋体" w:hAnsi="宋体" w:eastAsia="宋体" w:cs="Times New Roman"/>
          <w:sz w:val="21"/>
          <w:szCs w:val="21"/>
          <w:highlight w:val="none"/>
          <w:lang w:val="zh-CN"/>
        </w:rPr>
        <w:t xml:space="preserve">.1</w:t>
      </w:r>
      <w:r>
        <w:rPr>
          <w:rFonts w:hint="eastAsia" w:ascii="宋体" w:hAnsi="宋体" w:eastAsia="宋体" w:cs="宋体"/>
          <w:b/>
          <w:sz w:val="21"/>
          <w:highlight w:val="none"/>
        </w:rPr>
        <w:t xml:space="preserve">针对本项目的技术方案、项目组织管理措施。</w:t>
      </w:r>
      <w:r/>
    </w:p>
    <w:p>
      <w:pPr>
        <w:ind w:left="0" w:firstLine="408"/>
        <w:spacing w:line="360" w:lineRule="auto"/>
        <w:widowControl/>
        <w:rPr>
          <w:rFonts w:ascii="宋体" w:hAnsi="宋体" w:eastAsia="宋体" w:cs="Times New Roman"/>
          <w:sz w:val="21"/>
          <w:szCs w:val="21"/>
          <w:highlight w:val="none"/>
          <w:lang w:val="zh-CN"/>
        </w:rPr>
      </w:pPr>
      <w:r>
        <w:rPr>
          <w:rFonts w:ascii="宋体" w:hAnsi="宋体" w:eastAsia="宋体" w:cs="Times New Roman"/>
          <w:sz w:val="21"/>
          <w:szCs w:val="21"/>
          <w:highlight w:val="none"/>
          <w:lang w:val="zh-CN"/>
        </w:rPr>
        <w:t xml:space="preserve">14.1.6</w:t>
      </w:r>
      <w:r>
        <w:rPr>
          <w:rFonts w:hint="eastAsia" w:ascii="宋体" w:hAnsi="宋体" w:eastAsia="宋体" w:cs="Times New Roman"/>
          <w:sz w:val="21"/>
          <w:szCs w:val="21"/>
          <w:highlight w:val="none"/>
          <w:lang w:val="zh-CN"/>
        </w:rPr>
        <w:t xml:space="preserve">.2</w:t>
      </w:r>
      <w:r>
        <w:rPr>
          <w:rFonts w:hint="eastAsia" w:ascii="宋体" w:hAnsi="宋体" w:eastAsia="宋体" w:cs="宋体"/>
          <w:b/>
          <w:sz w:val="21"/>
          <w:highlight w:val="none"/>
        </w:rPr>
        <w:t xml:space="preserve">投入本项目人员综合素质配置</w:t>
      </w:r>
      <w:r/>
    </w:p>
    <w:p>
      <w:pPr>
        <w:ind w:left="0" w:firstLine="408"/>
        <w:spacing w:line="360" w:lineRule="auto"/>
        <w:widowControl/>
        <w:rPr>
          <w:rFonts w:ascii="宋体" w:hAnsi="宋体" w:eastAsia="宋体" w:cs="Times New Roman"/>
          <w:sz w:val="21"/>
          <w:szCs w:val="21"/>
          <w:highlight w:val="none"/>
          <w:lang w:val="zh-CN"/>
        </w:rPr>
      </w:pPr>
      <w:r>
        <w:rPr>
          <w:rFonts w:ascii="宋体" w:hAnsi="宋体" w:eastAsia="宋体" w:cs="Times New Roman"/>
          <w:sz w:val="21"/>
          <w:szCs w:val="21"/>
          <w:highlight w:val="none"/>
          <w:lang w:val="zh-CN"/>
        </w:rPr>
        <w:t xml:space="preserve">14.1.6</w:t>
      </w:r>
      <w:r>
        <w:rPr>
          <w:rFonts w:hint="eastAsia" w:ascii="宋体" w:hAnsi="宋体" w:eastAsia="宋体" w:cs="Times New Roman"/>
          <w:sz w:val="21"/>
          <w:szCs w:val="21"/>
          <w:highlight w:val="none"/>
          <w:lang w:val="zh-CN"/>
        </w:rPr>
        <w:t xml:space="preserve">.</w:t>
      </w:r>
      <w:r>
        <w:rPr>
          <w:rFonts w:ascii="宋体" w:hAnsi="宋体" w:eastAsia="宋体" w:cs="Times New Roman"/>
          <w:sz w:val="21"/>
          <w:szCs w:val="21"/>
          <w:highlight w:val="none"/>
          <w:lang w:val="zh-CN"/>
        </w:rPr>
        <w:t xml:space="preserve">3</w:t>
      </w:r>
      <w:r>
        <w:rPr>
          <w:rFonts w:hint="eastAsia" w:ascii="宋体" w:hAnsi="宋体" w:eastAsia="宋体" w:cs="宋体"/>
          <w:b/>
          <w:sz w:val="21"/>
          <w:highlight w:val="none"/>
        </w:rPr>
        <w:t xml:space="preserve">类似业绩能力</w:t>
      </w:r>
      <w:r/>
    </w:p>
    <w:p>
      <w:pPr>
        <w:ind w:left="0" w:firstLine="408"/>
        <w:spacing w:line="360"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ascii="宋体" w:hAnsi="宋体" w:eastAsia="宋体" w:cs="宋体"/>
          <w:sz w:val="21"/>
          <w:szCs w:val="21"/>
          <w:highlight w:val="none"/>
        </w:rPr>
        <w:t xml:space="preserve">4.1.</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其他可以证明投标人资信、资质和货物、服务质量的证书、文件、推荐信等资料（评分标准中涉及的内容）。</w:t>
      </w:r>
      <w:r/>
    </w:p>
    <w:p>
      <w:pPr>
        <w:ind w:left="0" w:firstLine="430"/>
        <w:jc w:val="both"/>
        <w:spacing w:line="360" w:lineRule="auto"/>
        <w:rPr>
          <w:rFonts w:ascii="宋体" w:hAnsi="宋体" w:eastAsia="宋体" w:cs="宋体"/>
          <w:b/>
          <w:bCs/>
          <w:sz w:val="21"/>
          <w:szCs w:val="21"/>
          <w:highlight w:val="none"/>
          <w:lang w:val="zh-CN" w:eastAsia="zh-CN" w:bidi="ar-SA"/>
        </w:rPr>
      </w:pPr>
      <w:r>
        <w:rPr>
          <w:rFonts w:hint="eastAsia" w:ascii="宋体" w:hAnsi="宋体" w:eastAsia="宋体" w:cs="宋体"/>
          <w:b/>
          <w:bCs/>
          <w:sz w:val="21"/>
          <w:szCs w:val="21"/>
          <w:highlight w:val="none"/>
          <w:lang w:val="zh-CN" w:eastAsia="zh-CN" w:bidi="ar-SA"/>
        </w:rPr>
        <w:t xml:space="preserve">注：（1）以上</w:t>
      </w:r>
      <w:r>
        <w:rPr>
          <w:rFonts w:ascii="宋体" w:hAnsi="宋体" w:eastAsia="宋体" w:cs="宋体"/>
          <w:b/>
          <w:bCs/>
          <w:sz w:val="21"/>
          <w:szCs w:val="21"/>
          <w:highlight w:val="none"/>
          <w:lang w:val="zh-CN" w:eastAsia="zh-CN" w:bidi="ar-SA"/>
        </w:rPr>
        <w:t xml:space="preserve">14.1.4.1-14.1.4.</w:t>
      </w:r>
      <w:r>
        <w:rPr>
          <w:rFonts w:hint="eastAsia" w:ascii="宋体" w:hAnsi="宋体" w:eastAsia="宋体" w:cs="宋体"/>
          <w:b/>
          <w:bCs/>
          <w:sz w:val="21"/>
          <w:szCs w:val="21"/>
          <w:highlight w:val="none"/>
          <w:lang w:val="en-US" w:eastAsia="zh-CN" w:bidi="ar-SA"/>
        </w:rPr>
        <w:t xml:space="preserve">8</w:t>
      </w:r>
      <w:r>
        <w:rPr>
          <w:rFonts w:hint="eastAsia" w:ascii="宋体" w:hAnsi="宋体" w:eastAsia="宋体" w:cs="宋体"/>
          <w:b/>
          <w:bCs/>
          <w:sz w:val="21"/>
          <w:szCs w:val="21"/>
          <w:highlight w:val="none"/>
          <w:lang w:val="zh-CN" w:eastAsia="zh-CN" w:bidi="ar-SA"/>
        </w:rPr>
        <w:t xml:space="preserve">为资格审查要求提供的材料，是作为对供应商资格审查、质疑身份认定的依据，投标人必须提供并加盖电子公章。否则，投标文件将被认定为不符合资格审查要求。</w:t>
      </w:r>
      <w:r/>
    </w:p>
    <w:p>
      <w:pPr>
        <w:ind w:left="0" w:firstLine="430"/>
        <w:jc w:val="both"/>
        <w:spacing w:line="360" w:lineRule="auto"/>
        <w:rPr>
          <w:rFonts w:ascii="宋体" w:hAnsi="宋体" w:eastAsia="宋体" w:cs="宋体"/>
          <w:b/>
          <w:bCs/>
          <w:sz w:val="21"/>
          <w:szCs w:val="21"/>
          <w:highlight w:val="none"/>
          <w:lang w:val="zh-CN" w:eastAsia="zh-CN" w:bidi="ar-SA"/>
        </w:rPr>
      </w:pPr>
      <w:r>
        <w:rPr>
          <w:rFonts w:hint="eastAsia" w:ascii="宋体" w:hAnsi="宋体" w:eastAsia="宋体" w:cs="宋体"/>
          <w:b/>
          <w:bCs/>
          <w:sz w:val="21"/>
          <w:szCs w:val="21"/>
          <w:highlight w:val="none"/>
          <w:lang w:val="zh-CN" w:eastAsia="zh-CN" w:bidi="ar-SA"/>
        </w:rPr>
        <w:t xml:space="preserve">（2）以上</w:t>
      </w:r>
      <w:r>
        <w:rPr>
          <w:rFonts w:ascii="宋体" w:hAnsi="宋体" w:eastAsia="宋体" w:cs="宋体"/>
          <w:b/>
          <w:bCs/>
          <w:sz w:val="21"/>
          <w:szCs w:val="21"/>
          <w:highlight w:val="none"/>
          <w:lang w:val="zh-CN" w:eastAsia="zh-CN" w:bidi="ar-SA"/>
        </w:rPr>
        <w:t xml:space="preserve">14.1.5.1</w:t>
      </w:r>
      <w:r>
        <w:rPr>
          <w:rFonts w:hint="eastAsia" w:ascii="宋体" w:hAnsi="宋体" w:eastAsia="宋体" w:cs="宋体"/>
          <w:b/>
          <w:bCs/>
          <w:sz w:val="21"/>
          <w:szCs w:val="21"/>
          <w:highlight w:val="none"/>
          <w:lang w:val="zh-CN" w:eastAsia="zh-CN" w:bidi="ar-SA"/>
        </w:rPr>
        <w:t xml:space="preserve">-</w:t>
      </w:r>
      <w:r>
        <w:rPr>
          <w:rFonts w:ascii="宋体" w:hAnsi="宋体" w:eastAsia="宋体" w:cs="宋体"/>
          <w:b/>
          <w:bCs/>
          <w:sz w:val="21"/>
          <w:szCs w:val="21"/>
          <w:highlight w:val="none"/>
          <w:lang w:val="zh-CN" w:eastAsia="zh-CN" w:bidi="ar-SA"/>
        </w:rPr>
        <w:t xml:space="preserve">14.1.5.</w:t>
      </w:r>
      <w:r>
        <w:rPr>
          <w:rFonts w:hint="eastAsia" w:ascii="宋体" w:hAnsi="宋体" w:eastAsia="宋体" w:cs="宋体"/>
          <w:b/>
          <w:bCs/>
          <w:sz w:val="21"/>
          <w:szCs w:val="21"/>
          <w:highlight w:val="none"/>
          <w:lang w:val="en-US" w:eastAsia="zh-CN" w:bidi="ar-SA"/>
        </w:rPr>
        <w:t xml:space="preserve">4</w:t>
      </w:r>
      <w:r>
        <w:rPr>
          <w:rFonts w:hint="eastAsia" w:ascii="宋体" w:hAnsi="宋体" w:eastAsia="宋体" w:cs="宋体"/>
          <w:b/>
          <w:bCs/>
          <w:sz w:val="21"/>
          <w:szCs w:val="21"/>
          <w:highlight w:val="none"/>
          <w:lang w:val="zh-CN" w:eastAsia="zh-CN" w:bidi="ar-SA"/>
        </w:rPr>
        <w:t xml:space="preserve">为符合性审查须提供的资料，投标人必须提供并加盖电子公章。否则，投标文件将被认定为未实质性响应。</w:t>
      </w:r>
      <w:r/>
    </w:p>
    <w:p>
      <w:pPr>
        <w:ind w:left="0" w:firstLine="430"/>
        <w:jc w:val="both"/>
        <w:spacing w:line="360" w:lineRule="auto"/>
        <w:rPr>
          <w:rFonts w:ascii="宋体" w:hAnsi="宋体" w:eastAsia="宋体" w:cs="Times New Roman"/>
          <w:sz w:val="21"/>
          <w:szCs w:val="21"/>
          <w:highlight w:val="none"/>
          <w:lang w:val="zh-CN" w:eastAsia="zh-CN" w:bidi="ar-SA"/>
        </w:rPr>
      </w:pPr>
      <w:r>
        <w:rPr>
          <w:rFonts w:hint="eastAsia" w:ascii="宋体" w:hAnsi="宋体" w:eastAsia="宋体" w:cs="Times New Roman"/>
          <w:b/>
          <w:sz w:val="21"/>
          <w:szCs w:val="21"/>
          <w:highlight w:val="none"/>
          <w:lang w:val="zh-CN" w:eastAsia="zh-CN" w:bidi="ar-SA"/>
        </w:rPr>
        <w:t xml:space="preserve">（3）“1</w:t>
      </w:r>
      <w:r>
        <w:rPr>
          <w:rFonts w:ascii="宋体" w:hAnsi="宋体" w:eastAsia="宋体" w:cs="Times New Roman"/>
          <w:b/>
          <w:sz w:val="21"/>
          <w:szCs w:val="21"/>
          <w:highlight w:val="none"/>
          <w:lang w:val="zh-CN" w:eastAsia="zh-CN" w:bidi="ar-SA"/>
        </w:rPr>
        <w:t xml:space="preserve">4.1.4-14.1.</w:t>
      </w:r>
      <w:r>
        <w:rPr>
          <w:rFonts w:hint="eastAsia" w:ascii="宋体" w:hAnsi="宋体" w:eastAsia="宋体" w:cs="Times New Roman"/>
          <w:b/>
          <w:sz w:val="21"/>
          <w:szCs w:val="21"/>
          <w:highlight w:val="none"/>
          <w:lang w:val="en-US" w:eastAsia="zh-CN" w:bidi="ar-SA"/>
        </w:rPr>
        <w:t xml:space="preserve">8</w:t>
      </w:r>
      <w:r>
        <w:rPr>
          <w:rFonts w:hint="eastAsia" w:ascii="宋体" w:hAnsi="宋体" w:eastAsia="宋体" w:cs="Times New Roman"/>
          <w:b/>
          <w:sz w:val="21"/>
          <w:szCs w:val="21"/>
          <w:highlight w:val="none"/>
          <w:lang w:val="zh-CN" w:eastAsia="zh-CN" w:bidi="ar-SA"/>
        </w:rPr>
        <w:t xml:space="preserve">”中不得出现投标总报价。</w:t>
      </w:r>
      <w:r>
        <w:rPr>
          <w:rFonts w:hint="eastAsia" w:ascii="宋体" w:hAnsi="宋体" w:eastAsia="宋体" w:cs="Times New Roman"/>
          <w:sz w:val="21"/>
          <w:szCs w:val="21"/>
          <w:highlight w:val="none"/>
          <w:lang w:val="zh-CN" w:eastAsia="zh-CN" w:bidi="ar-SA"/>
        </w:rPr>
        <w:t xml:space="preserve">投标人所提交的资料的完整与否，将直接影响投标人的评分。</w:t>
      </w:r>
      <w:r/>
    </w:p>
    <w:p>
      <w:pPr>
        <w:ind w:left="0" w:firstLine="430"/>
        <w:jc w:val="both"/>
        <w:spacing w:line="360" w:lineRule="auto"/>
        <w:rPr>
          <w:rFonts w:ascii="宋体" w:hAnsi="宋体" w:eastAsia="宋体" w:cs="宋体"/>
          <w:b/>
          <w:bCs/>
          <w:sz w:val="21"/>
          <w:szCs w:val="21"/>
          <w:highlight w:val="none"/>
          <w:lang w:val="zh-CN" w:eastAsia="zh-CN" w:bidi="ar-SA"/>
        </w:rPr>
      </w:pPr>
      <w:r>
        <w:rPr>
          <w:rFonts w:hint="eastAsia" w:ascii="宋体" w:hAnsi="宋体" w:eastAsia="宋体" w:cs="Times New Roman"/>
          <w:b/>
          <w:sz w:val="21"/>
          <w:szCs w:val="21"/>
          <w:highlight w:val="none"/>
          <w:lang w:val="zh-CN" w:eastAsia="zh-CN" w:bidi="ar-SA"/>
        </w:rPr>
        <w:t xml:space="preserve">（</w:t>
      </w:r>
      <w:r>
        <w:rPr>
          <w:rFonts w:ascii="宋体" w:hAnsi="宋体" w:eastAsia="宋体" w:cs="Times New Roman"/>
          <w:b/>
          <w:sz w:val="21"/>
          <w:szCs w:val="21"/>
          <w:highlight w:val="none"/>
          <w:lang w:val="zh-CN" w:eastAsia="zh-CN" w:bidi="ar-SA"/>
        </w:rPr>
        <w:t xml:space="preserve">4</w:t>
      </w:r>
      <w:r>
        <w:rPr>
          <w:rFonts w:hint="eastAsia" w:ascii="宋体" w:hAnsi="宋体" w:eastAsia="宋体" w:cs="Times New Roman"/>
          <w:b/>
          <w:sz w:val="21"/>
          <w:szCs w:val="21"/>
          <w:highlight w:val="none"/>
          <w:lang w:val="zh-CN" w:eastAsia="zh-CN" w:bidi="ar-SA"/>
        </w:rPr>
        <w:t xml:space="preserve">）制作电子投标文件时必须与投标文件制作软件目录一一对应，将相关资料上传至相应模块。</w:t>
      </w:r>
      <w:r/>
    </w:p>
    <w:p>
      <w:pPr>
        <w:pStyle w:val="702"/>
        <w:ind w:firstLine="422"/>
        <w:rPr>
          <w:rFonts w:hint="eastAsia" w:ascii="宋体" w:hAnsi="宋体" w:eastAsia="宋体"/>
          <w:b/>
          <w:sz w:val="21"/>
          <w:szCs w:val="21"/>
          <w:highlight w:val="none"/>
        </w:rPr>
      </w:pPr>
      <w:r>
        <w:rPr>
          <w:rFonts w:hint="eastAsia" w:ascii="宋体" w:hAnsi="宋体" w:eastAsia="宋体" w:cs="Times New Roman"/>
          <w:b/>
          <w:sz w:val="21"/>
          <w:szCs w:val="21"/>
          <w:highlight w:val="none"/>
          <w:lang w:val="zh-CN" w:eastAsia="zh-CN" w:bidi="ar-SA"/>
        </w:rPr>
        <w:t xml:space="preserve">（5）开评标过程中如有问题采购代理机构工作人员会及时通过《投标供应商确认函》留存的手机号与供应商联系。请供应商确保该手机号通讯畅通，否则导致的不利后果由供应商自行承担。</w:t>
      </w:r>
      <w:r/>
    </w:p>
    <w:p>
      <w:pPr>
        <w:numPr>
          <w:ilvl w:val="0"/>
          <w:numId w:val="4"/>
        </w:numPr>
        <w:spacing w:line="400" w:lineRule="exact"/>
        <w:rPr>
          <w:rFonts w:ascii="宋体" w:hAnsi="宋体" w:eastAsia="宋体"/>
          <w:b/>
          <w:bCs/>
          <w:sz w:val="21"/>
          <w:szCs w:val="21"/>
          <w:highlight w:val="none"/>
        </w:rPr>
      </w:pPr>
      <w:r>
        <w:rPr>
          <w:rFonts w:hint="eastAsia" w:ascii="宋体" w:hAnsi="宋体" w:eastAsia="宋体"/>
          <w:b/>
          <w:bCs/>
          <w:sz w:val="21"/>
          <w:szCs w:val="21"/>
          <w:highlight w:val="none"/>
        </w:rPr>
        <w:t xml:space="preserve">投标文件编制要求</w:t>
      </w:r>
      <w:r/>
    </w:p>
    <w:p>
      <w:pPr>
        <w:ind w:firstLine="420"/>
        <w:spacing w:line="400" w:lineRule="exact"/>
        <w:rPr>
          <w:rFonts w:ascii="宋体" w:hAnsi="宋体" w:eastAsia="宋体"/>
          <w:bCs/>
          <w:sz w:val="21"/>
          <w:szCs w:val="21"/>
          <w:highlight w:val="none"/>
        </w:rPr>
      </w:pPr>
      <w:r>
        <w:rPr>
          <w:rFonts w:hint="eastAsia" w:ascii="宋体" w:hAnsi="宋体" w:eastAsia="宋体"/>
          <w:bCs/>
          <w:sz w:val="21"/>
          <w:szCs w:val="21"/>
          <w:highlight w:val="none"/>
        </w:rPr>
        <w:t xml:space="preserve">15.1.投标文件按统一格式、顺序编写。</w:t>
      </w:r>
      <w:r/>
    </w:p>
    <w:p>
      <w:pPr>
        <w:ind w:firstLine="420"/>
        <w:spacing w:line="400" w:lineRule="exact"/>
        <w:rPr>
          <w:rFonts w:ascii="宋体" w:hAnsi="宋体" w:eastAsia="宋体"/>
          <w:b/>
          <w:bCs/>
          <w:sz w:val="21"/>
          <w:szCs w:val="21"/>
          <w:highlight w:val="none"/>
        </w:rPr>
      </w:pPr>
      <w:r>
        <w:rPr>
          <w:rFonts w:hint="eastAsia" w:ascii="宋体" w:hAnsi="宋体" w:eastAsia="宋体"/>
          <w:bCs/>
          <w:sz w:val="21"/>
          <w:szCs w:val="21"/>
          <w:highlight w:val="none"/>
        </w:rPr>
        <w:t xml:space="preserve">15.2.《开标一览表》为在开标仪式上唱标的内容，要求按格式填写，统一规范，不得自行增减内容。</w:t>
      </w:r>
      <w:r/>
    </w:p>
    <w:p>
      <w:pPr>
        <w:numPr>
          <w:ilvl w:val="0"/>
          <w:numId w:val="4"/>
        </w:numPr>
        <w:spacing w:line="400" w:lineRule="exact"/>
        <w:rPr>
          <w:rFonts w:ascii="宋体" w:hAnsi="宋体" w:eastAsia="宋体"/>
          <w:b/>
          <w:bCs/>
          <w:sz w:val="21"/>
          <w:szCs w:val="21"/>
          <w:highlight w:val="none"/>
        </w:rPr>
      </w:pPr>
      <w:r>
        <w:rPr>
          <w:rFonts w:hint="eastAsia" w:ascii="宋体" w:hAnsi="宋体" w:eastAsia="宋体"/>
          <w:b/>
          <w:bCs/>
          <w:sz w:val="21"/>
          <w:szCs w:val="21"/>
          <w:highlight w:val="none"/>
        </w:rPr>
        <w:t xml:space="preserve">投标报价（编制）要求的说明</w:t>
      </w:r>
      <w:r/>
    </w:p>
    <w:p>
      <w:pPr>
        <w:ind w:firstLine="420"/>
        <w:spacing w:line="400" w:lineRule="exact"/>
        <w:rPr>
          <w:rFonts w:ascii="宋体" w:hAnsi="宋体" w:eastAsia="宋体"/>
          <w:bCs/>
          <w:sz w:val="21"/>
          <w:szCs w:val="21"/>
          <w:highlight w:val="none"/>
        </w:rPr>
      </w:pPr>
      <w:r>
        <w:rPr>
          <w:rFonts w:hint="eastAsia" w:ascii="宋体" w:hAnsi="宋体" w:eastAsia="宋体"/>
          <w:bCs/>
          <w:sz w:val="21"/>
          <w:szCs w:val="21"/>
          <w:highlight w:val="none"/>
        </w:rPr>
        <w:t xml:space="preserve">16.1.投标报价应包括完成该标的物全部内容的一切费用。投标报价为最终报价，投标人所报价格在合同实施期间不因市场变化因素而变动。</w:t>
      </w:r>
      <w:r/>
    </w:p>
    <w:p>
      <w:pPr>
        <w:ind w:firstLine="420"/>
        <w:spacing w:line="400" w:lineRule="exact"/>
        <w:rPr>
          <w:rFonts w:ascii="宋体" w:hAnsi="宋体" w:eastAsia="宋体"/>
          <w:bCs/>
          <w:sz w:val="21"/>
          <w:szCs w:val="21"/>
          <w:highlight w:val="none"/>
        </w:rPr>
      </w:pPr>
      <w:r>
        <w:rPr>
          <w:rFonts w:hint="eastAsia" w:ascii="宋体" w:hAnsi="宋体" w:eastAsia="宋体"/>
          <w:bCs/>
          <w:sz w:val="21"/>
          <w:szCs w:val="21"/>
          <w:highlight w:val="none"/>
        </w:rPr>
        <w:t xml:space="preserve">16.2.投标人应按《投标报价表》中的全部货物和服务计算单价和总价。《投标报价表》中的每一单项均应计算并填写单价和总价，并由法定代表人或代理人签署。</w:t>
      </w:r>
      <w:r/>
    </w:p>
    <w:p>
      <w:pPr>
        <w:ind w:firstLine="420"/>
        <w:spacing w:line="400" w:lineRule="exact"/>
        <w:rPr>
          <w:rFonts w:ascii="宋体" w:hAnsi="宋体" w:eastAsia="宋体"/>
          <w:b/>
          <w:sz w:val="21"/>
          <w:szCs w:val="21"/>
          <w:highlight w:val="none"/>
        </w:rPr>
      </w:pPr>
      <w:r>
        <w:rPr>
          <w:rFonts w:hint="eastAsia" w:ascii="宋体" w:hAnsi="宋体" w:eastAsia="宋体"/>
          <w:bCs/>
          <w:sz w:val="21"/>
          <w:szCs w:val="21"/>
          <w:highlight w:val="none"/>
        </w:rPr>
        <w:t xml:space="preserve">16.3.投标人应对招标文件内所要采购的全部内容进行报价，只投其中部分内容者，其标书将被拒绝。</w:t>
      </w:r>
      <w:r/>
    </w:p>
    <w:p>
      <w:pPr>
        <w:ind w:firstLine="420"/>
        <w:spacing w:line="400" w:lineRule="exact"/>
        <w:rPr>
          <w:rFonts w:ascii="宋体" w:hAnsi="宋体" w:eastAsia="宋体"/>
          <w:bCs/>
          <w:sz w:val="21"/>
          <w:szCs w:val="21"/>
          <w:highlight w:val="none"/>
        </w:rPr>
      </w:pPr>
      <w:r>
        <w:rPr>
          <w:rFonts w:hint="eastAsia" w:ascii="宋体" w:hAnsi="宋体" w:eastAsia="宋体"/>
          <w:bCs/>
          <w:sz w:val="21"/>
          <w:szCs w:val="21"/>
          <w:highlight w:val="none"/>
        </w:rPr>
        <w:t xml:space="preserve">16.4.一项投标内容只允许一个报价，采购代理机构不接受任何有选择性的投标报价。</w:t>
      </w:r>
      <w:r/>
    </w:p>
    <w:p>
      <w:pPr>
        <w:ind w:firstLine="420"/>
        <w:spacing w:line="400" w:lineRule="exact"/>
        <w:rPr>
          <w:rFonts w:ascii="宋体" w:hAnsi="宋体" w:eastAsia="宋体"/>
          <w:bCs/>
          <w:sz w:val="21"/>
          <w:szCs w:val="21"/>
          <w:highlight w:val="none"/>
        </w:rPr>
      </w:pPr>
      <w:r>
        <w:rPr>
          <w:rFonts w:hint="eastAsia" w:ascii="宋体" w:hAnsi="宋体" w:eastAsia="宋体"/>
          <w:bCs/>
          <w:sz w:val="21"/>
          <w:szCs w:val="21"/>
          <w:highlight w:val="none"/>
        </w:rPr>
        <w:t xml:space="preserve">16.5.投标文件报价中的单价和总价全部采用人民币表示，除非合同的特殊条款另有规定。</w:t>
      </w:r>
      <w:r/>
    </w:p>
    <w:p>
      <w:pPr>
        <w:numPr>
          <w:ilvl w:val="0"/>
          <w:numId w:val="4"/>
        </w:numPr>
        <w:spacing w:line="400" w:lineRule="exact"/>
        <w:rPr>
          <w:rFonts w:ascii="宋体" w:hAnsi="宋体" w:eastAsia="宋体"/>
          <w:b/>
          <w:bCs/>
          <w:sz w:val="21"/>
          <w:szCs w:val="21"/>
          <w:highlight w:val="none"/>
        </w:rPr>
      </w:pPr>
      <w:r>
        <w:rPr>
          <w:rFonts w:hint="eastAsia" w:ascii="宋体" w:hAnsi="宋体" w:eastAsia="宋体"/>
          <w:b/>
          <w:bCs/>
          <w:sz w:val="21"/>
          <w:szCs w:val="21"/>
          <w:highlight w:val="none"/>
        </w:rPr>
        <w:t xml:space="preserve">投标保证金：无</w:t>
      </w:r>
      <w:r/>
    </w:p>
    <w:p>
      <w:pPr>
        <w:numPr>
          <w:ilvl w:val="0"/>
          <w:numId w:val="4"/>
        </w:numPr>
        <w:spacing w:line="400" w:lineRule="exact"/>
        <w:rPr>
          <w:rFonts w:ascii="宋体" w:hAnsi="宋体" w:eastAsia="宋体"/>
          <w:b/>
          <w:bCs/>
          <w:sz w:val="21"/>
          <w:szCs w:val="21"/>
          <w:highlight w:val="none"/>
        </w:rPr>
      </w:pPr>
      <w:r>
        <w:rPr>
          <w:rFonts w:hint="eastAsia" w:ascii="宋体" w:hAnsi="宋体" w:eastAsia="宋体"/>
          <w:b/>
          <w:bCs/>
          <w:sz w:val="21"/>
          <w:szCs w:val="21"/>
          <w:highlight w:val="none"/>
        </w:rPr>
        <w:t xml:space="preserve">投标文件的有效期</w:t>
      </w:r>
      <w:r/>
    </w:p>
    <w:p>
      <w:pPr>
        <w:ind w:firstLine="420"/>
        <w:spacing w:line="400" w:lineRule="exact"/>
        <w:rPr>
          <w:rFonts w:ascii="宋体" w:hAnsi="宋体" w:eastAsia="宋体"/>
          <w:bCs/>
          <w:sz w:val="21"/>
          <w:szCs w:val="21"/>
          <w:highlight w:val="none"/>
        </w:rPr>
      </w:pPr>
      <w:r>
        <w:rPr>
          <w:rFonts w:hint="eastAsia" w:ascii="宋体" w:hAnsi="宋体" w:eastAsia="宋体"/>
          <w:bCs/>
          <w:sz w:val="21"/>
          <w:szCs w:val="21"/>
          <w:highlight w:val="none"/>
        </w:rPr>
        <w:t xml:space="preserve">18.1.在本招标文件前附表规定的投标有效期内，投标人所提交的投标文件应保持有效。有效期短于这个规定期限的投标，将被拒绝。</w:t>
      </w:r>
      <w:r/>
    </w:p>
    <w:p>
      <w:pPr>
        <w:ind w:firstLine="420"/>
        <w:spacing w:line="400" w:lineRule="exact"/>
        <w:rPr>
          <w:rFonts w:ascii="宋体" w:hAnsi="宋体" w:eastAsia="宋体"/>
          <w:bCs/>
          <w:sz w:val="21"/>
          <w:szCs w:val="21"/>
          <w:highlight w:val="none"/>
        </w:rPr>
      </w:pPr>
      <w:r>
        <w:rPr>
          <w:rFonts w:hint="eastAsia" w:ascii="宋体" w:hAnsi="宋体" w:eastAsia="宋体"/>
          <w:bCs/>
          <w:sz w:val="21"/>
          <w:szCs w:val="21"/>
          <w:highlight w:val="none"/>
        </w:rPr>
        <w:t xml:space="preserve">18.2.在特殊情况下，招标代理机构可与投标人协商延长投标书的有效期。这种要求和答复都应以书面形式进行。同意延长有效期的投标人不能修改投标文件。</w:t>
      </w:r>
      <w:r/>
    </w:p>
    <w:p>
      <w:pPr>
        <w:numPr>
          <w:ilvl w:val="0"/>
          <w:numId w:val="4"/>
        </w:numPr>
        <w:spacing w:line="400" w:lineRule="exact"/>
        <w:rPr>
          <w:rFonts w:ascii="宋体" w:hAnsi="宋体" w:eastAsia="宋体"/>
          <w:b/>
          <w:bCs/>
          <w:sz w:val="21"/>
          <w:szCs w:val="21"/>
          <w:highlight w:val="none"/>
        </w:rPr>
      </w:pPr>
      <w:r>
        <w:rPr>
          <w:rFonts w:hint="eastAsia" w:ascii="宋体" w:hAnsi="宋体" w:eastAsia="宋体"/>
          <w:b/>
          <w:bCs/>
          <w:sz w:val="21"/>
          <w:szCs w:val="21"/>
          <w:highlight w:val="none"/>
        </w:rPr>
        <w:t xml:space="preserve">投标文件的制作、签署、上传</w:t>
      </w:r>
      <w:r/>
    </w:p>
    <w:p>
      <w:pPr>
        <w:numPr>
          <w:ilvl w:val="1"/>
          <w:numId w:val="4"/>
        </w:numPr>
        <w:ind w:left="0" w:firstLine="420"/>
        <w:spacing w:line="400" w:lineRule="exact"/>
        <w:rPr>
          <w:rFonts w:ascii="宋体" w:hAnsi="宋体" w:eastAsia="宋体"/>
          <w:bCs/>
          <w:sz w:val="21"/>
          <w:szCs w:val="21"/>
          <w:highlight w:val="none"/>
        </w:rPr>
      </w:pPr>
      <w:r>
        <w:rPr>
          <w:rFonts w:hint="eastAsia" w:ascii="宋体" w:hAnsi="宋体" w:eastAsia="宋体"/>
          <w:bCs/>
          <w:sz w:val="21"/>
          <w:szCs w:val="21"/>
          <w:highlight w:val="none"/>
        </w:rPr>
        <w:t xml:space="preserve">本项目采用电子招投标形式，请供应商按照《苏采云系统供应商操作手册》进行制作、上传电子投标文件。</w:t>
      </w:r>
      <w:r/>
    </w:p>
    <w:p>
      <w:pPr>
        <w:numPr>
          <w:ilvl w:val="1"/>
          <w:numId w:val="4"/>
        </w:numPr>
        <w:ind w:left="0" w:firstLine="420"/>
        <w:spacing w:line="400" w:lineRule="exact"/>
        <w:rPr>
          <w:rFonts w:ascii="宋体" w:hAnsi="宋体" w:eastAsia="宋体"/>
          <w:bCs/>
          <w:sz w:val="21"/>
          <w:szCs w:val="21"/>
          <w:highlight w:val="none"/>
        </w:rPr>
      </w:pPr>
      <w:r>
        <w:rPr>
          <w:rFonts w:hint="eastAsia" w:ascii="宋体" w:hAnsi="宋体" w:eastAsia="宋体"/>
          <w:bCs/>
          <w:sz w:val="21"/>
          <w:szCs w:val="21"/>
          <w:highlight w:val="none"/>
        </w:rPr>
        <w:t xml:space="preserve">制作电子投标文件时，应按照招标文件要求加盖投标人电子公章。</w:t>
      </w:r>
      <w:r/>
    </w:p>
    <w:p>
      <w:pPr>
        <w:numPr>
          <w:ilvl w:val="1"/>
          <w:numId w:val="4"/>
        </w:numPr>
        <w:ind w:left="0" w:firstLine="422"/>
        <w:spacing w:line="400" w:lineRule="exact"/>
        <w:rPr>
          <w:rFonts w:ascii="宋体" w:hAnsi="宋体" w:eastAsia="宋体"/>
          <w:b/>
          <w:bCs/>
          <w:sz w:val="21"/>
          <w:szCs w:val="21"/>
          <w:highlight w:val="none"/>
        </w:rPr>
      </w:pPr>
      <w:r>
        <w:rPr>
          <w:rFonts w:hint="eastAsia" w:ascii="宋体" w:hAnsi="宋体" w:eastAsia="宋体"/>
          <w:b/>
          <w:sz w:val="21"/>
          <w:szCs w:val="21"/>
          <w:highlight w:val="none"/>
        </w:rPr>
        <w:t xml:space="preserve">电子投标文件制作完成后请于投标文件网上提交截止时间前成功上传至“苏采云”系统，否则视为放弃参加该采购项目。</w:t>
      </w:r>
      <w:r>
        <w:rPr>
          <w:rFonts w:hint="eastAsia" w:ascii="宋体" w:hAnsi="宋体" w:eastAsia="宋体"/>
          <w:bCs/>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numPr>
          <w:ilvl w:val="0"/>
          <w:numId w:val="3"/>
        </w:numPr>
        <w:spacing w:line="400" w:lineRule="exact"/>
        <w:rPr>
          <w:rFonts w:ascii="宋体" w:hAnsi="宋体" w:eastAsia="宋体"/>
          <w:b/>
          <w:sz w:val="21"/>
          <w:szCs w:val="21"/>
          <w:highlight w:val="none"/>
        </w:rPr>
      </w:pPr>
      <w:r>
        <w:rPr>
          <w:rFonts w:hint="eastAsia" w:ascii="宋体" w:hAnsi="宋体" w:eastAsia="宋体"/>
          <w:b/>
          <w:sz w:val="21"/>
          <w:szCs w:val="21"/>
          <w:highlight w:val="none"/>
        </w:rPr>
        <w:t xml:space="preserve">投标文件递交及要求</w:t>
      </w:r>
      <w:r/>
    </w:p>
    <w:p>
      <w:pPr>
        <w:numPr>
          <w:ilvl w:val="0"/>
          <w:numId w:val="4"/>
        </w:numPr>
        <w:spacing w:line="400" w:lineRule="exact"/>
        <w:rPr>
          <w:rFonts w:ascii="宋体" w:hAnsi="宋体" w:eastAsia="宋体"/>
          <w:b/>
          <w:bCs/>
          <w:sz w:val="21"/>
          <w:szCs w:val="21"/>
          <w:highlight w:val="none"/>
        </w:rPr>
      </w:pPr>
      <w:r>
        <w:rPr>
          <w:rFonts w:hint="eastAsia" w:ascii="宋体" w:hAnsi="宋体" w:eastAsia="宋体"/>
          <w:b/>
          <w:bCs/>
          <w:sz w:val="21"/>
          <w:szCs w:val="21"/>
          <w:highlight w:val="none"/>
        </w:rPr>
        <w:t xml:space="preserve">投标文件的递交</w:t>
      </w:r>
      <w:r/>
    </w:p>
    <w:p>
      <w:pPr>
        <w:numPr>
          <w:ilvl w:val="1"/>
          <w:numId w:val="4"/>
        </w:numPr>
        <w:ind w:left="0" w:firstLine="420"/>
        <w:spacing w:line="400" w:lineRule="exact"/>
        <w:rPr>
          <w:rFonts w:ascii="宋体" w:hAnsi="宋体" w:eastAsia="宋体"/>
          <w:bCs/>
          <w:sz w:val="21"/>
          <w:szCs w:val="21"/>
          <w:highlight w:val="none"/>
        </w:rPr>
      </w:pPr>
      <w:r>
        <w:rPr>
          <w:rFonts w:hint="eastAsia" w:ascii="宋体" w:hAnsi="宋体" w:eastAsia="宋体"/>
          <w:bCs/>
          <w:sz w:val="21"/>
          <w:szCs w:val="21"/>
          <w:highlight w:val="none"/>
        </w:rPr>
        <w:t xml:space="preserve">投标人应当在在投标截止时间前制作并上传电子投标文件。</w:t>
      </w:r>
      <w:r/>
    </w:p>
    <w:p>
      <w:pPr>
        <w:numPr>
          <w:ilvl w:val="1"/>
          <w:numId w:val="4"/>
        </w:numPr>
        <w:ind w:left="0" w:firstLine="422"/>
        <w:jc w:val="left"/>
        <w:spacing w:line="400" w:lineRule="exact"/>
        <w:rPr>
          <w:rFonts w:ascii="宋体" w:hAnsi="宋体" w:eastAsia="宋体"/>
          <w:b/>
          <w:sz w:val="21"/>
          <w:szCs w:val="21"/>
          <w:highlight w:val="none"/>
        </w:rPr>
      </w:pPr>
      <w:r>
        <w:rPr>
          <w:rFonts w:hint="eastAsia" w:ascii="宋体" w:hAnsi="宋体" w:eastAsia="宋体"/>
          <w:b/>
          <w:sz w:val="21"/>
          <w:szCs w:val="21"/>
          <w:highlight w:val="none"/>
        </w:rPr>
        <w:t xml:space="preserve">投标人通过“苏采云”系统不见面开标大厅在线参与开标活动。（具体操作详见《苏采云系统供应商操作手册》，网址链接https://czju.suzhou.gov.cn/zfcg/html/content/20231220161910031.shtml）</w:t>
      </w:r>
      <w:r/>
    </w:p>
    <w:p>
      <w:pPr>
        <w:numPr>
          <w:ilvl w:val="0"/>
          <w:numId w:val="4"/>
        </w:numPr>
        <w:spacing w:line="400" w:lineRule="exact"/>
        <w:rPr>
          <w:rFonts w:ascii="宋体" w:hAnsi="宋体" w:eastAsia="宋体"/>
          <w:b/>
          <w:bCs/>
          <w:sz w:val="21"/>
          <w:szCs w:val="21"/>
          <w:highlight w:val="none"/>
        </w:rPr>
      </w:pPr>
      <w:r>
        <w:rPr>
          <w:rFonts w:hint="eastAsia" w:ascii="宋体" w:hAnsi="宋体" w:eastAsia="宋体"/>
          <w:b/>
          <w:bCs/>
          <w:sz w:val="21"/>
          <w:szCs w:val="21"/>
          <w:highlight w:val="none"/>
        </w:rPr>
        <w:t xml:space="preserve">投标截止时间</w:t>
      </w:r>
      <w:r/>
    </w:p>
    <w:p>
      <w:pPr>
        <w:numPr>
          <w:ilvl w:val="1"/>
          <w:numId w:val="4"/>
        </w:numPr>
        <w:ind w:left="0" w:firstLine="420"/>
        <w:spacing w:line="400" w:lineRule="exact"/>
        <w:rPr>
          <w:rFonts w:ascii="宋体" w:hAnsi="宋体" w:eastAsia="宋体"/>
          <w:bCs/>
          <w:sz w:val="21"/>
          <w:szCs w:val="21"/>
          <w:highlight w:val="none"/>
        </w:rPr>
      </w:pPr>
      <w:r>
        <w:rPr>
          <w:rFonts w:hint="eastAsia" w:ascii="宋体" w:hAnsi="宋体" w:eastAsia="宋体"/>
          <w:bCs/>
          <w:sz w:val="21"/>
          <w:szCs w:val="21"/>
          <w:highlight w:val="none"/>
        </w:rPr>
        <w:t xml:space="preserve">投标人应当在招标文件要求投标文件网上提交截止时间前，将投标文件完成提交（上传）。逾期提交（上传）的投标文件，采购人和采购代理机构拒绝接收。</w:t>
      </w:r>
      <w:r/>
    </w:p>
    <w:p>
      <w:pPr>
        <w:numPr>
          <w:ilvl w:val="1"/>
          <w:numId w:val="4"/>
        </w:numPr>
        <w:ind w:left="0" w:firstLine="420"/>
        <w:spacing w:line="400" w:lineRule="exact"/>
        <w:rPr>
          <w:rFonts w:ascii="宋体" w:hAnsi="宋体" w:eastAsia="宋体"/>
          <w:bCs/>
          <w:sz w:val="21"/>
          <w:szCs w:val="21"/>
          <w:highlight w:val="none"/>
        </w:rPr>
      </w:pPr>
      <w:r>
        <w:rPr>
          <w:rFonts w:hint="eastAsia" w:ascii="宋体" w:hAnsi="宋体" w:eastAsia="宋体"/>
          <w:bCs/>
          <w:sz w:val="21"/>
          <w:szCs w:val="21"/>
          <w:highlight w:val="none"/>
        </w:rPr>
        <w:t xml:space="preserve">采购人和采购代理机构推迟投标截止时间时，将按本须知规定的更正公告的方式对外发布。在这种情况下，采购人、采购代理机构和投标人的权利和义务将受到新的截止期的约束。</w:t>
      </w:r>
      <w:r/>
    </w:p>
    <w:p>
      <w:pPr>
        <w:numPr>
          <w:ilvl w:val="1"/>
          <w:numId w:val="4"/>
        </w:numPr>
        <w:ind w:left="0" w:firstLine="420"/>
        <w:spacing w:line="400" w:lineRule="exact"/>
        <w:rPr>
          <w:rFonts w:ascii="宋体" w:hAnsi="宋体" w:eastAsia="宋体"/>
          <w:bCs/>
          <w:sz w:val="21"/>
          <w:szCs w:val="21"/>
          <w:highlight w:val="none"/>
        </w:rPr>
      </w:pPr>
      <w:r>
        <w:rPr>
          <w:rFonts w:hint="eastAsia" w:ascii="宋体" w:hAnsi="宋体" w:eastAsia="宋体"/>
          <w:bCs/>
          <w:sz w:val="21"/>
          <w:szCs w:val="21"/>
          <w:highlight w:val="none"/>
        </w:rPr>
        <w:t xml:space="preserve">在投标截止时间止成功解密的投标文件少于三份，采购代理机构有权宣布本次招标失败。</w:t>
      </w:r>
      <w:r/>
    </w:p>
    <w:p>
      <w:pPr>
        <w:numPr>
          <w:ilvl w:val="0"/>
          <w:numId w:val="4"/>
        </w:numPr>
        <w:spacing w:line="400" w:lineRule="exact"/>
        <w:rPr>
          <w:rFonts w:ascii="宋体" w:hAnsi="宋体" w:eastAsia="宋体"/>
          <w:b/>
          <w:bCs/>
          <w:sz w:val="21"/>
          <w:szCs w:val="21"/>
          <w:highlight w:val="none"/>
        </w:rPr>
      </w:pPr>
      <w:r>
        <w:rPr>
          <w:rFonts w:hint="eastAsia" w:ascii="宋体" w:hAnsi="宋体" w:eastAsia="宋体"/>
          <w:b/>
          <w:bCs/>
          <w:sz w:val="21"/>
          <w:szCs w:val="21"/>
          <w:highlight w:val="none"/>
        </w:rPr>
        <w:t xml:space="preserve">投标文件的补充、修改和撤回</w:t>
      </w:r>
      <w:r/>
    </w:p>
    <w:p>
      <w:pPr>
        <w:numPr>
          <w:ilvl w:val="1"/>
          <w:numId w:val="4"/>
        </w:numPr>
        <w:ind w:left="0" w:firstLine="420"/>
        <w:spacing w:line="400" w:lineRule="exact"/>
        <w:rPr>
          <w:rFonts w:ascii="宋体" w:hAnsi="宋体" w:eastAsia="宋体"/>
          <w:bCs/>
          <w:sz w:val="21"/>
          <w:szCs w:val="21"/>
          <w:highlight w:val="none"/>
        </w:rPr>
      </w:pPr>
      <w:r>
        <w:rPr>
          <w:rFonts w:hint="eastAsia" w:ascii="宋体" w:hAnsi="宋体" w:eastAsia="宋体"/>
          <w:bCs/>
          <w:sz w:val="21"/>
          <w:szCs w:val="21"/>
          <w:highlight w:val="none"/>
        </w:rPr>
        <w:t xml:space="preserve">投标人在投标文件网上提交截止时间前，可以对其电子投标文件进行补充、修改，具体操作方法见《苏采云系统供应商操作手册》。在投标文件网上提交截止时间之后，投标人不得对其电子投标文件作任何修改。</w:t>
      </w:r>
      <w:r/>
    </w:p>
    <w:p>
      <w:pPr>
        <w:numPr>
          <w:ilvl w:val="1"/>
          <w:numId w:val="4"/>
        </w:numPr>
        <w:ind w:left="0" w:firstLine="420"/>
        <w:spacing w:line="400" w:lineRule="exact"/>
        <w:rPr>
          <w:rFonts w:ascii="宋体" w:hAnsi="宋体" w:eastAsia="宋体"/>
          <w:bCs/>
          <w:sz w:val="21"/>
          <w:szCs w:val="21"/>
          <w:highlight w:val="none"/>
        </w:rPr>
      </w:pPr>
      <w:r>
        <w:rPr>
          <w:rFonts w:hint="eastAsia" w:ascii="宋体" w:hAnsi="宋体" w:eastAsia="宋体"/>
          <w:bCs/>
          <w:sz w:val="21"/>
          <w:szCs w:val="21"/>
          <w:highlight w:val="none"/>
        </w:rPr>
        <w:t xml:space="preserve">投标人在投标文件网上提交截止时间前，可以撤回其电子投标文件，</w:t>
      </w:r>
      <w:r>
        <w:rPr>
          <w:rFonts w:hint="eastAsia" w:ascii="宋体" w:hAnsi="宋体" w:eastAsia="宋体"/>
          <w:b/>
          <w:sz w:val="21"/>
          <w:szCs w:val="21"/>
          <w:highlight w:val="none"/>
        </w:rPr>
        <w:t xml:space="preserve">具体操作方法见《苏采云系统供应商操作手册》</w:t>
      </w:r>
      <w:r>
        <w:rPr>
          <w:rFonts w:hint="eastAsia" w:ascii="宋体" w:hAnsi="宋体" w:eastAsia="宋体"/>
          <w:bCs/>
          <w:sz w:val="21"/>
          <w:szCs w:val="21"/>
          <w:highlight w:val="none"/>
        </w:rPr>
        <w:t xml:space="preserve">。</w:t>
      </w:r>
      <w:bookmarkStart w:id="16" w:name="_Toc29371"/>
      <w:r/>
      <w:bookmarkStart w:id="17" w:name="_Toc22837"/>
      <w:r>
        <w:rPr>
          <w:rFonts w:hint="eastAsia" w:ascii="宋体" w:hAnsi="宋体" w:eastAsia="宋体"/>
          <w:bCs/>
          <w:sz w:val="21"/>
          <w:szCs w:val="21"/>
          <w:highlight w:val="none"/>
        </w:rPr>
        <w:t xml:space="preserve">投标人撤回电子投标文件，则认为其不再参与本项目投标活动。在投标截止时间至招标文件中规定的投标有效期满之间的这段时间内，投标人不得撤回其投标。</w:t>
      </w:r>
      <w:r/>
    </w:p>
    <w:p>
      <w:pPr>
        <w:numPr>
          <w:ilvl w:val="0"/>
          <w:numId w:val="3"/>
        </w:numPr>
        <w:spacing w:line="400" w:lineRule="exact"/>
        <w:rPr>
          <w:rFonts w:ascii="宋体" w:hAnsi="宋体" w:eastAsia="宋体"/>
          <w:b/>
          <w:sz w:val="21"/>
          <w:szCs w:val="21"/>
          <w:highlight w:val="none"/>
        </w:rPr>
      </w:pPr>
      <w:r>
        <w:rPr>
          <w:rFonts w:hint="eastAsia" w:ascii="宋体" w:hAnsi="宋体" w:eastAsia="宋体"/>
          <w:b/>
          <w:sz w:val="21"/>
          <w:szCs w:val="21"/>
          <w:highlight w:val="none"/>
        </w:rPr>
        <w:t xml:space="preserve">开标和评标</w:t>
      </w:r>
      <w:bookmarkEnd w:id="16"/>
      <w:r/>
      <w:bookmarkEnd w:id="17"/>
      <w:r/>
      <w:r/>
    </w:p>
    <w:p>
      <w:pPr>
        <w:numPr>
          <w:ilvl w:val="0"/>
          <w:numId w:val="4"/>
        </w:numPr>
        <w:spacing w:line="400" w:lineRule="exact"/>
        <w:rPr>
          <w:rFonts w:ascii="宋体" w:hAnsi="宋体" w:eastAsia="宋体"/>
          <w:b/>
          <w:bCs/>
          <w:sz w:val="21"/>
          <w:szCs w:val="21"/>
          <w:highlight w:val="none"/>
        </w:rPr>
      </w:pPr>
      <w:r>
        <w:rPr>
          <w:rFonts w:hint="eastAsia" w:ascii="宋体" w:hAnsi="宋体" w:eastAsia="宋体"/>
          <w:b/>
          <w:bCs/>
          <w:sz w:val="21"/>
          <w:szCs w:val="21"/>
          <w:highlight w:val="none"/>
        </w:rPr>
        <w:t xml:space="preserve">开标</w:t>
      </w:r>
      <w:r/>
    </w:p>
    <w:p>
      <w:pPr>
        <w:numPr>
          <w:ilvl w:val="1"/>
          <w:numId w:val="4"/>
        </w:numPr>
        <w:ind w:left="0" w:firstLine="420"/>
        <w:spacing w:line="400" w:lineRule="exact"/>
        <w:rPr>
          <w:rFonts w:ascii="宋体" w:hAnsi="宋体" w:eastAsia="宋体"/>
          <w:bCs/>
          <w:sz w:val="21"/>
          <w:szCs w:val="21"/>
          <w:highlight w:val="none"/>
        </w:rPr>
      </w:pPr>
      <w:r>
        <w:rPr>
          <w:rFonts w:hint="eastAsia" w:ascii="宋体" w:hAnsi="宋体" w:eastAsia="宋体"/>
          <w:bCs/>
          <w:sz w:val="21"/>
          <w:szCs w:val="21"/>
          <w:highlight w:val="none"/>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numPr>
          <w:ilvl w:val="1"/>
          <w:numId w:val="4"/>
        </w:numPr>
        <w:ind w:left="0" w:firstLine="420"/>
        <w:spacing w:line="400" w:lineRule="exact"/>
        <w:rPr>
          <w:rFonts w:ascii="宋体" w:hAnsi="宋体" w:eastAsia="宋体"/>
          <w:bCs/>
          <w:sz w:val="21"/>
          <w:szCs w:val="21"/>
          <w:highlight w:val="none"/>
        </w:rPr>
      </w:pPr>
      <w:r>
        <w:rPr>
          <w:rFonts w:hint="eastAsia" w:ascii="宋体" w:hAnsi="宋体" w:eastAsia="宋体"/>
          <w:bCs/>
          <w:sz w:val="21"/>
          <w:szCs w:val="21"/>
          <w:highlight w:val="none"/>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1"/>
          <w:numId w:val="4"/>
        </w:numPr>
        <w:ind w:left="0" w:firstLine="420"/>
        <w:spacing w:line="400" w:lineRule="exact"/>
        <w:rPr>
          <w:rFonts w:ascii="宋体" w:hAnsi="宋体" w:eastAsia="宋体"/>
          <w:bCs/>
          <w:sz w:val="21"/>
          <w:szCs w:val="21"/>
          <w:highlight w:val="none"/>
        </w:rPr>
      </w:pPr>
      <w:r>
        <w:rPr>
          <w:rFonts w:hint="eastAsia" w:ascii="宋体" w:hAnsi="宋体" w:eastAsia="宋体"/>
          <w:bCs/>
          <w:sz w:val="21"/>
          <w:szCs w:val="21"/>
          <w:highlight w:val="none"/>
        </w:rPr>
        <w:t xml:space="preserve">资格审查</w:t>
      </w:r>
      <w:r/>
    </w:p>
    <w:p>
      <w:pPr>
        <w:ind w:firstLine="420"/>
        <w:spacing w:line="400" w:lineRule="exact"/>
        <w:rPr>
          <w:rFonts w:ascii="宋体" w:hAnsi="宋体" w:eastAsia="宋体"/>
          <w:bCs/>
          <w:sz w:val="21"/>
          <w:szCs w:val="21"/>
          <w:highlight w:val="none"/>
        </w:rPr>
      </w:pPr>
      <w:r>
        <w:rPr>
          <w:rFonts w:hint="eastAsia" w:ascii="宋体" w:hAnsi="宋体" w:eastAsia="宋体"/>
          <w:bCs/>
          <w:sz w:val="21"/>
          <w:szCs w:val="21"/>
          <w:highlight w:val="none"/>
        </w:rPr>
        <w:t xml:space="preserve">23.3.1公开招标采购项目开标结束后，采购人应当依法对投标人的资格进行审查，未通过资格审查的视为无效投标。</w:t>
      </w:r>
      <w:r/>
    </w:p>
    <w:p>
      <w:pPr>
        <w:ind w:firstLine="420"/>
        <w:spacing w:line="400" w:lineRule="exact"/>
        <w:rPr>
          <w:rFonts w:ascii="宋体" w:hAnsi="宋体" w:eastAsia="宋体"/>
          <w:bCs/>
          <w:sz w:val="21"/>
          <w:szCs w:val="21"/>
          <w:highlight w:val="none"/>
        </w:rPr>
      </w:pPr>
      <w:r>
        <w:rPr>
          <w:rFonts w:hint="eastAsia" w:ascii="宋体" w:hAnsi="宋体" w:eastAsia="宋体"/>
          <w:bCs/>
          <w:sz w:val="21"/>
          <w:szCs w:val="21"/>
          <w:highlight w:val="none"/>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ind w:firstLine="420"/>
        <w:spacing w:line="400" w:lineRule="exact"/>
        <w:rPr>
          <w:rFonts w:ascii="宋体" w:hAnsi="宋体" w:eastAsia="宋体"/>
          <w:bCs/>
          <w:sz w:val="21"/>
          <w:szCs w:val="21"/>
          <w:highlight w:val="none"/>
        </w:rPr>
      </w:pPr>
      <w:r>
        <w:rPr>
          <w:rFonts w:hint="eastAsia" w:ascii="宋体" w:hAnsi="宋体" w:eastAsia="宋体"/>
          <w:bCs/>
          <w:sz w:val="21"/>
          <w:szCs w:val="21"/>
          <w:highlight w:val="none"/>
        </w:rPr>
        <w:t xml:space="preserve">23.3.2.1查询时间：投标文件递交截止时间。</w:t>
      </w:r>
      <w:r/>
    </w:p>
    <w:p>
      <w:pPr>
        <w:ind w:firstLine="420"/>
        <w:spacing w:line="400" w:lineRule="exact"/>
        <w:rPr>
          <w:rFonts w:ascii="宋体" w:hAnsi="宋体" w:eastAsia="宋体"/>
          <w:bCs/>
          <w:sz w:val="21"/>
          <w:szCs w:val="21"/>
          <w:highlight w:val="none"/>
        </w:rPr>
      </w:pPr>
      <w:r>
        <w:rPr>
          <w:rFonts w:hint="eastAsia" w:ascii="宋体" w:hAnsi="宋体" w:eastAsia="宋体"/>
          <w:bCs/>
          <w:sz w:val="21"/>
          <w:szCs w:val="21"/>
          <w:highlight w:val="none"/>
        </w:rPr>
        <w:t xml:space="preserve">23.3.2.2查询渠道：采购代理机构会在接收投标文件截止时间后，登录信用中国网站（www.creditchina.gov.cn）和中国政府采购网（www.ccgp.gov.cn/）查询供应商的信用记录，并将查询结果递交评标委员会。</w:t>
      </w:r>
      <w:r/>
    </w:p>
    <w:p>
      <w:pPr>
        <w:ind w:firstLine="420"/>
        <w:spacing w:line="400" w:lineRule="exact"/>
        <w:rPr>
          <w:rFonts w:ascii="宋体" w:hAnsi="宋体" w:eastAsia="宋体"/>
          <w:bCs/>
          <w:sz w:val="21"/>
          <w:szCs w:val="21"/>
          <w:highlight w:val="none"/>
        </w:rPr>
      </w:pPr>
      <w:r>
        <w:rPr>
          <w:rFonts w:hint="eastAsia" w:ascii="宋体" w:hAnsi="宋体" w:eastAsia="宋体"/>
          <w:bCs/>
          <w:sz w:val="21"/>
          <w:szCs w:val="21"/>
          <w:highlight w:val="none"/>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spacing w:line="400" w:lineRule="exact"/>
        <w:rPr>
          <w:rFonts w:ascii="宋体" w:hAnsi="宋体" w:eastAsia="宋体"/>
          <w:bCs/>
          <w:sz w:val="21"/>
          <w:szCs w:val="21"/>
          <w:highlight w:val="none"/>
        </w:rPr>
      </w:pPr>
      <w:r>
        <w:rPr>
          <w:rFonts w:hint="eastAsia" w:ascii="宋体" w:hAnsi="宋体" w:eastAsia="宋体"/>
          <w:bCs/>
          <w:sz w:val="21"/>
          <w:szCs w:val="21"/>
          <w:highlight w:val="none"/>
        </w:rPr>
        <w:t xml:space="preserve">23.3.3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numPr>
          <w:ilvl w:val="0"/>
          <w:numId w:val="4"/>
        </w:numPr>
        <w:spacing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评标委员会</w:t>
      </w:r>
      <w:r/>
    </w:p>
    <w:p>
      <w:pPr>
        <w:numPr>
          <w:ilvl w:val="1"/>
          <w:numId w:val="4"/>
        </w:numPr>
        <w:ind w:left="0"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评标委员会负责具体评标事务，并独立履行下列职责：</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24.1.1审查、评价投标文件是否符合招标文件的商务、技术等实质性要求；</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24.1.2要求投标人对投标文件有关事项作出澄清或者说明；</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24.1.3对投标文件进行比较和评价；</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24.1.4确定中标候选人名单，以及根据采购人委托直接确定中标人；</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24.1.5向采购人、采购代理机构或者有关部门报告评标中发现的违法行为。</w:t>
      </w:r>
      <w:r/>
    </w:p>
    <w:p>
      <w:pPr>
        <w:numPr>
          <w:ilvl w:val="1"/>
          <w:numId w:val="4"/>
        </w:numPr>
        <w:ind w:left="0"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评标委员会成员应当履行下列义务：</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24.2.1遵纪守法，客观、公正、廉洁地履行职责；</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24.2.2按照招标文件规定的评标办法和评标标准进行评标，对评审意见承担个人责任；</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24.2.3对评标过程和结果，以及投标人的商业秘密保密；</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24.2.4评标委员会根据全体评标成员签字的原始评标记录和评标结果编写评标报告。评标报告应当包括以下内容： </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（一）招标公告刊登的媒体名称、开标日期和地点；</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（二）投标人名单和评标委员会成员名单；</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（三）评标方法和标准；</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（四）开标记录和评标情况及说明，包括无效投标人名单及原因；</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（五）评标结果，确定的中标候选人名单或者经采购人委托直接确定的中标人；</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（六）其他需要说明的情况，包括评标过程中投标人根据评标委员会要求进行的澄清、说明或者补正，评标委员会成员的更换等。</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24.2.5配合相关部门的投诉处理工作；</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24.2.6配合采购人和采购代理机构答复投标人提出的质疑。</w:t>
      </w:r>
      <w:r/>
    </w:p>
    <w:p>
      <w:pPr>
        <w:numPr>
          <w:ilvl w:val="0"/>
          <w:numId w:val="4"/>
        </w:numPr>
        <w:spacing w:line="276"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评标内容的保密</w:t>
      </w:r>
      <w:r/>
    </w:p>
    <w:p>
      <w:pPr>
        <w:numPr>
          <w:ilvl w:val="1"/>
          <w:numId w:val="4"/>
        </w:numPr>
        <w:ind w:left="0" w:firstLine="420"/>
        <w:spacing w:line="276" w:lineRule="auto"/>
        <w:rPr>
          <w:rFonts w:ascii="宋体" w:hAnsi="宋体" w:eastAsia="宋体"/>
          <w:bCs/>
          <w:sz w:val="21"/>
          <w:szCs w:val="21"/>
          <w:highlight w:val="none"/>
        </w:rPr>
      </w:pPr>
      <w:r>
        <w:rPr>
          <w:rFonts w:hint="eastAsia" w:ascii="宋体" w:hAnsi="宋体" w:eastAsia="宋体"/>
          <w:bCs/>
          <w:sz w:val="21"/>
          <w:szCs w:val="21"/>
          <w:highlight w:val="none"/>
        </w:rPr>
        <w:t xml:space="preserve">公开开标后，直到宣布授予中标合同为止，凡属于审查、澄清、评价和比较投标的所有资料，有关授予合同的信息都不应向投标人或与评标无关的其他人泄露。</w:t>
      </w:r>
      <w:r/>
    </w:p>
    <w:p>
      <w:pPr>
        <w:numPr>
          <w:ilvl w:val="1"/>
          <w:numId w:val="4"/>
        </w:numPr>
        <w:ind w:left="0" w:firstLine="420"/>
        <w:spacing w:line="276" w:lineRule="auto"/>
        <w:rPr>
          <w:rFonts w:ascii="宋体" w:hAnsi="宋体" w:eastAsia="宋体"/>
          <w:bCs/>
          <w:sz w:val="21"/>
          <w:szCs w:val="21"/>
          <w:highlight w:val="none"/>
        </w:rPr>
      </w:pPr>
      <w:r>
        <w:rPr>
          <w:rFonts w:hint="eastAsia" w:ascii="宋体" w:hAnsi="宋体" w:eastAsia="宋体"/>
          <w:bCs/>
          <w:sz w:val="21"/>
          <w:szCs w:val="21"/>
          <w:highlight w:val="none"/>
        </w:rPr>
        <w:t xml:space="preserve">在投标文件的审查、澄清、评价和比较以及授予合同的过程中，投标人对采购人、采购代理机构和评标委员会成员施加影响的任何行为，都将取消其中标资格。</w:t>
      </w:r>
      <w:r/>
    </w:p>
    <w:p>
      <w:pPr>
        <w:numPr>
          <w:ilvl w:val="0"/>
          <w:numId w:val="4"/>
        </w:numPr>
        <w:spacing w:line="276"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对投标文件初审</w:t>
      </w:r>
      <w:r/>
    </w:p>
    <w:p>
      <w:pPr>
        <w:numPr>
          <w:ilvl w:val="1"/>
          <w:numId w:val="4"/>
        </w:numPr>
        <w:ind w:left="0" w:firstLine="420"/>
        <w:spacing w:line="276" w:lineRule="auto"/>
        <w:rPr>
          <w:rFonts w:ascii="宋体" w:hAnsi="宋体" w:eastAsia="宋体"/>
          <w:bCs/>
          <w:sz w:val="21"/>
          <w:szCs w:val="21"/>
          <w:highlight w:val="none"/>
        </w:rPr>
      </w:pPr>
      <w:r>
        <w:rPr>
          <w:rFonts w:hint="eastAsia" w:ascii="宋体" w:hAnsi="宋体" w:eastAsia="宋体"/>
          <w:bCs/>
          <w:sz w:val="21"/>
          <w:szCs w:val="21"/>
          <w:highlight w:val="none"/>
        </w:rPr>
        <w:t xml:space="preserve">评标委员会应当对符合资格的投标人的投标文件进行符合性审查，以确定其是否满足招标文件的实质性要求。</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投标文件有下列情况之一者评标委员会有权将其拒绝：</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26.1.1投标人的投标文件未按照本须知规定制作的；</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26.1.2未按本须知规定提交资格文件；</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26.1.3与招标文件有重大偏离；</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26.1.4投标人拒绝修正错误；</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26.1.5投标人的报价是选择性的；</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26.1.6投标人的报价只投了部分内容；</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26.1.7投标人的投标文件出现了评标委员会认为不应当雷同的情况；</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26.1.8其他被评委会认定无效的情况。</w:t>
      </w:r>
      <w:r/>
    </w:p>
    <w:p>
      <w:pPr>
        <w:numPr>
          <w:ilvl w:val="1"/>
          <w:numId w:val="4"/>
        </w:numPr>
        <w:ind w:left="0" w:firstLine="420"/>
        <w:spacing w:line="276" w:lineRule="auto"/>
        <w:rPr>
          <w:rFonts w:ascii="宋体" w:hAnsi="宋体" w:eastAsia="宋体"/>
          <w:bCs/>
          <w:sz w:val="21"/>
          <w:szCs w:val="21"/>
          <w:highlight w:val="none"/>
        </w:rPr>
      </w:pPr>
      <w:r>
        <w:rPr>
          <w:rFonts w:hint="eastAsia" w:ascii="宋体" w:hAnsi="宋体" w:eastAsia="宋体"/>
          <w:bCs/>
          <w:sz w:val="21"/>
          <w:szCs w:val="21"/>
          <w:highlight w:val="none"/>
        </w:rPr>
        <w:t xml:space="preserve">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numPr>
          <w:ilvl w:val="1"/>
          <w:numId w:val="4"/>
        </w:numPr>
        <w:ind w:left="0" w:firstLine="420"/>
        <w:spacing w:line="276" w:lineRule="auto"/>
        <w:rPr>
          <w:rFonts w:ascii="宋体" w:hAnsi="宋体" w:eastAsia="宋体"/>
          <w:bCs/>
          <w:sz w:val="21"/>
          <w:szCs w:val="21"/>
          <w:highlight w:val="none"/>
        </w:rPr>
      </w:pPr>
      <w:r>
        <w:rPr>
          <w:rFonts w:hint="eastAsia" w:ascii="宋体" w:hAnsi="宋体" w:eastAsia="宋体"/>
          <w:bCs/>
          <w:sz w:val="21"/>
          <w:szCs w:val="21"/>
          <w:highlight w:val="none"/>
        </w:rPr>
        <w:t xml:space="preserve">投标文件报价出现前后不一致的，除招标文件另有规定外，按照下列规定修正：</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（一）投标文件中开标一览表（报价表）内容与投标文件中相应内容不一致的，以开标一览表（报价表）为准；</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（二）大写金额和小写金额不一致的，以大写金额为准；</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（三）单价金额小数点或者百分比有明显错位的，以开标一览表的总价为准，并修改单价；</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（四）总价金额与按单价汇总金额不一致的，以单价金额计算结果为准。</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numPr>
          <w:ilvl w:val="1"/>
          <w:numId w:val="4"/>
        </w:numPr>
        <w:ind w:left="0" w:firstLine="420"/>
        <w:spacing w:line="276" w:lineRule="auto"/>
        <w:rPr>
          <w:rFonts w:ascii="宋体" w:hAnsi="宋体" w:eastAsia="宋体"/>
          <w:bCs/>
          <w:sz w:val="21"/>
          <w:szCs w:val="21"/>
          <w:highlight w:val="none"/>
        </w:rPr>
      </w:pPr>
      <w:r>
        <w:rPr>
          <w:rFonts w:hint="eastAsia" w:ascii="宋体" w:hAnsi="宋体" w:eastAsia="宋体"/>
          <w:bCs/>
          <w:sz w:val="21"/>
          <w:szCs w:val="21"/>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numPr>
          <w:ilvl w:val="1"/>
          <w:numId w:val="4"/>
        </w:numPr>
        <w:ind w:left="0" w:firstLine="420"/>
        <w:spacing w:line="276" w:lineRule="auto"/>
        <w:rPr>
          <w:rFonts w:ascii="宋体" w:hAnsi="宋体" w:eastAsia="宋体"/>
          <w:bCs/>
          <w:sz w:val="21"/>
          <w:szCs w:val="21"/>
          <w:highlight w:val="none"/>
        </w:rPr>
      </w:pPr>
      <w:r>
        <w:rPr>
          <w:rFonts w:hint="eastAsia" w:ascii="宋体" w:hAnsi="宋体" w:eastAsia="宋体"/>
          <w:bCs/>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numPr>
          <w:ilvl w:val="0"/>
          <w:numId w:val="4"/>
        </w:numPr>
        <w:spacing w:line="276"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投标的澄清</w:t>
      </w:r>
      <w:r/>
    </w:p>
    <w:p>
      <w:pPr>
        <w:numPr>
          <w:ilvl w:val="1"/>
          <w:numId w:val="4"/>
        </w:numPr>
        <w:ind w:left="0" w:firstLine="420"/>
        <w:spacing w:line="276" w:lineRule="auto"/>
        <w:rPr>
          <w:rFonts w:ascii="宋体" w:hAnsi="宋体" w:eastAsia="宋体"/>
          <w:bCs/>
          <w:sz w:val="21"/>
          <w:szCs w:val="21"/>
          <w:highlight w:val="none"/>
        </w:rPr>
      </w:pPr>
      <w:r>
        <w:rPr>
          <w:rFonts w:hint="eastAsia" w:ascii="宋体" w:hAnsi="宋体" w:eastAsia="宋体"/>
          <w:bCs/>
          <w:sz w:val="21"/>
          <w:szCs w:val="21"/>
          <w:highlight w:val="none"/>
        </w:rPr>
        <w:t xml:space="preserve">对于投标文件中含义不明确、同类问题表述不一致或者有明显文字和计算错误的内容，评标委员会应当以书面形式要求投标人作出必要的澄清、说明或者补正。</w:t>
      </w:r>
      <w:r/>
    </w:p>
    <w:p>
      <w:pPr>
        <w:numPr>
          <w:ilvl w:val="1"/>
          <w:numId w:val="4"/>
        </w:numPr>
        <w:ind w:left="0" w:firstLine="420"/>
        <w:spacing w:line="276" w:lineRule="auto"/>
        <w:rPr>
          <w:rFonts w:ascii="宋体" w:hAnsi="宋体" w:eastAsia="宋体"/>
          <w:bCs/>
          <w:sz w:val="21"/>
          <w:szCs w:val="21"/>
          <w:highlight w:val="none"/>
        </w:rPr>
      </w:pPr>
      <w:r>
        <w:rPr>
          <w:rFonts w:hint="eastAsia" w:ascii="宋体" w:hAnsi="宋体" w:eastAsia="宋体"/>
          <w:bCs/>
          <w:sz w:val="21"/>
          <w:szCs w:val="21"/>
          <w:highlight w:val="none"/>
        </w:rPr>
        <w:t xml:space="preserve">投标人的澄清、说明或者补正应当采用书面形式，并加盖其单位电子公章。投标人的澄清、说明或者补正不得超出投标文件的范围或者改变投标文件的实质性内容。</w:t>
      </w:r>
      <w:r/>
    </w:p>
    <w:p>
      <w:pPr>
        <w:pStyle w:val="1102"/>
        <w:ind w:firstLine="422"/>
        <w:spacing w:line="360" w:lineRule="auto"/>
        <w:rPr>
          <w:rFonts w:eastAsia="宋体" w:cs="等线"/>
          <w:sz w:val="21"/>
          <w:szCs w:val="21"/>
          <w:highlight w:val="none"/>
        </w:rPr>
      </w:pPr>
      <w:r>
        <w:rPr>
          <w:rFonts w:hint="eastAsia" w:eastAsia="宋体" w:cs="等线"/>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eastAsia="宋体" w:cs="等线"/>
          <w:sz w:val="21"/>
          <w:szCs w:val="21"/>
          <w:highlight w:val="none"/>
        </w:rPr>
        <w:t xml:space="preserve">(</w:t>
      </w:r>
      <w:r>
        <w:rPr>
          <w:rFonts w:hint="eastAsia" w:eastAsia="宋体" w:cs="等线"/>
          <w:b/>
          <w:sz w:val="21"/>
          <w:szCs w:val="21"/>
          <w:highlight w:val="none"/>
        </w:rPr>
        <w:t xml:space="preserve">此处规定时间的计算以系统中的倒计时间为准，</w:t>
      </w:r>
      <w:r>
        <w:rPr>
          <w:rFonts w:hint="eastAsia" w:eastAsia="宋体" w:cs="等线"/>
          <w:sz w:val="21"/>
          <w:szCs w:val="21"/>
          <w:highlight w:val="none"/>
        </w:rPr>
        <w:t xml:space="preserve">供应商应随时保持系统在线，如因供应商自身原因未在规定时间内提交澄清确认资料的，导致的不利后果由供应商自行承担。)</w:t>
      </w:r>
      <w:r/>
    </w:p>
    <w:p>
      <w:pPr>
        <w:numPr>
          <w:ilvl w:val="0"/>
          <w:numId w:val="4"/>
        </w:numPr>
        <w:spacing w:line="276"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投标无效</w:t>
      </w:r>
      <w:r/>
    </w:p>
    <w:p>
      <w:pPr>
        <w:numPr>
          <w:ilvl w:val="1"/>
          <w:numId w:val="4"/>
        </w:numPr>
        <w:ind w:left="0" w:firstLine="420"/>
        <w:spacing w:line="276" w:lineRule="auto"/>
        <w:rPr>
          <w:rFonts w:ascii="宋体" w:hAnsi="宋体" w:eastAsia="宋体"/>
          <w:bCs/>
          <w:sz w:val="21"/>
          <w:szCs w:val="21"/>
          <w:highlight w:val="none"/>
        </w:rPr>
      </w:pPr>
      <w:r>
        <w:rPr>
          <w:rFonts w:hint="eastAsia" w:ascii="宋体" w:hAnsi="宋体" w:eastAsia="宋体"/>
          <w:bCs/>
          <w:sz w:val="21"/>
          <w:szCs w:val="21"/>
          <w:highlight w:val="none"/>
        </w:rPr>
        <w:t xml:space="preserve">投标人存在下列情况之一的，投标无效:</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w:t>
      </w:r>
      <w:r>
        <w:rPr>
          <w:rFonts w:hint="eastAsia" w:eastAsia="宋体" w:cs="等线"/>
          <w:sz w:val="21"/>
          <w:szCs w:val="21"/>
          <w:highlight w:val="none"/>
          <w:lang w:val="en-US"/>
        </w:rPr>
        <w:t xml:space="preserve">一</w:t>
      </w:r>
      <w:r>
        <w:rPr>
          <w:rFonts w:hint="eastAsia" w:eastAsia="宋体" w:cs="等线"/>
          <w:sz w:val="21"/>
          <w:szCs w:val="21"/>
          <w:highlight w:val="none"/>
        </w:rPr>
        <w:t xml:space="preserve">）投标文件未按招标文件要求签署、盖章的；</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w:t>
      </w:r>
      <w:r>
        <w:rPr>
          <w:rFonts w:hint="eastAsia" w:eastAsia="宋体" w:cs="等线"/>
          <w:sz w:val="21"/>
          <w:szCs w:val="21"/>
          <w:highlight w:val="none"/>
          <w:lang w:val="en-US"/>
        </w:rPr>
        <w:t xml:space="preserve">二</w:t>
      </w:r>
      <w:r>
        <w:rPr>
          <w:rFonts w:hint="eastAsia" w:eastAsia="宋体" w:cs="等线"/>
          <w:sz w:val="21"/>
          <w:szCs w:val="21"/>
          <w:highlight w:val="none"/>
        </w:rPr>
        <w:t xml:space="preserve">）不具备招标文件中规定的资格要求的；</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w:t>
      </w:r>
      <w:r>
        <w:rPr>
          <w:rFonts w:hint="eastAsia" w:eastAsia="宋体" w:cs="等线"/>
          <w:sz w:val="21"/>
          <w:szCs w:val="21"/>
          <w:highlight w:val="none"/>
          <w:lang w:val="en-US"/>
        </w:rPr>
        <w:t xml:space="preserve">三</w:t>
      </w:r>
      <w:r>
        <w:rPr>
          <w:rFonts w:hint="eastAsia" w:eastAsia="宋体" w:cs="等线"/>
          <w:sz w:val="21"/>
          <w:szCs w:val="21"/>
          <w:highlight w:val="none"/>
        </w:rPr>
        <w:t xml:space="preserve">）报价超过招标文件中规定的预算金额或者最高限价的；</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w:t>
      </w:r>
      <w:r>
        <w:rPr>
          <w:rFonts w:hint="eastAsia" w:eastAsia="宋体" w:cs="等线"/>
          <w:sz w:val="21"/>
          <w:szCs w:val="21"/>
          <w:highlight w:val="none"/>
          <w:lang w:val="en-US"/>
        </w:rPr>
        <w:t xml:space="preserve">四</w:t>
      </w:r>
      <w:r>
        <w:rPr>
          <w:rFonts w:hint="eastAsia" w:eastAsia="宋体" w:cs="等线"/>
          <w:sz w:val="21"/>
          <w:szCs w:val="21"/>
          <w:highlight w:val="none"/>
        </w:rPr>
        <w:t xml:space="preserve">）投标文件含有采购人不能接受的附加条件的；</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（五）法律、法规和招标文件规定的其他无效情形。</w:t>
      </w:r>
      <w:r/>
    </w:p>
    <w:p>
      <w:pPr>
        <w:numPr>
          <w:ilvl w:val="1"/>
          <w:numId w:val="4"/>
        </w:numPr>
        <w:ind w:left="0" w:firstLine="420"/>
        <w:spacing w:line="276" w:lineRule="auto"/>
        <w:rPr>
          <w:rFonts w:ascii="宋体" w:hAnsi="宋体" w:eastAsia="宋体"/>
          <w:bCs/>
          <w:sz w:val="21"/>
          <w:szCs w:val="21"/>
          <w:highlight w:val="none"/>
        </w:rPr>
      </w:pPr>
      <w:r>
        <w:rPr>
          <w:rFonts w:hint="eastAsia" w:ascii="宋体" w:hAnsi="宋体" w:eastAsia="宋体"/>
          <w:bCs/>
          <w:sz w:val="21"/>
          <w:szCs w:val="21"/>
          <w:highlight w:val="none"/>
        </w:rPr>
        <w:t xml:space="preserve">投标人应当遵循公平竞争的原则，不得恶意串通，不得妨碍其他投标人的竞争行为，不得损害采购人或者其他投标人的合法权益。</w:t>
      </w:r>
      <w:r/>
    </w:p>
    <w:p>
      <w:pPr>
        <w:ind w:left="420"/>
        <w:spacing w:line="276" w:lineRule="auto"/>
        <w:rPr>
          <w:rFonts w:ascii="宋体" w:hAnsi="宋体" w:eastAsia="宋体"/>
          <w:bCs/>
          <w:sz w:val="21"/>
          <w:szCs w:val="21"/>
          <w:highlight w:val="none"/>
        </w:rPr>
      </w:pPr>
      <w:r>
        <w:rPr>
          <w:rFonts w:hint="eastAsia" w:ascii="宋体" w:hAnsi="宋体" w:eastAsia="宋体"/>
          <w:bCs/>
          <w:sz w:val="21"/>
          <w:szCs w:val="21"/>
          <w:highlight w:val="none"/>
        </w:rPr>
        <w:t xml:space="preserve">在评标过程中发现投标人有上述情形的，评标委员会应当认定其投标无效，并书面报告本级财政部门。</w:t>
      </w:r>
      <w:r/>
    </w:p>
    <w:p>
      <w:pPr>
        <w:numPr>
          <w:ilvl w:val="1"/>
          <w:numId w:val="4"/>
        </w:numPr>
        <w:ind w:left="0"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有下列情形之一的，视为投标人串通投标，其投标无效：</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（一）不同投标人的投标文件由同一单位或者个人编制；</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（二）不同投标人委托同一单位或者个人办理投标事宜；</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（三）不同投标人的投标文件载明的项目管理成员或者联系人员为同一人；</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（四）不同投标人的投标文件异常一致或者投标报价呈规律性差异；</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（五）不同投标人的投标文件相互混装。</w:t>
      </w:r>
      <w:r/>
    </w:p>
    <w:p>
      <w:pPr>
        <w:numPr>
          <w:ilvl w:val="0"/>
          <w:numId w:val="4"/>
        </w:numPr>
        <w:spacing w:line="276"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废标</w:t>
      </w:r>
      <w:r/>
    </w:p>
    <w:p>
      <w:pPr>
        <w:numPr>
          <w:ilvl w:val="1"/>
          <w:numId w:val="4"/>
        </w:numPr>
        <w:ind w:left="0"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在招标过程中，出现下列情况之一的，应予废标：</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29.1.1符合专业条件的供应商或者对招标文件作实质投标的供应商不足</w:t>
      </w:r>
      <w:r>
        <w:rPr>
          <w:rFonts w:hint="eastAsia" w:eastAsia="宋体" w:cs="等线"/>
          <w:sz w:val="21"/>
          <w:szCs w:val="21"/>
          <w:highlight w:val="none"/>
          <w:lang w:val="en-US"/>
        </w:rPr>
        <w:t xml:space="preserve">三</w:t>
      </w:r>
      <w:r>
        <w:rPr>
          <w:rFonts w:hint="eastAsia" w:eastAsia="宋体" w:cs="等线"/>
          <w:sz w:val="21"/>
          <w:szCs w:val="21"/>
          <w:highlight w:val="none"/>
        </w:rPr>
        <w:t xml:space="preserve">家的；</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29.1.2出现影响采购公正的违法、违规行为的；</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29.1.3投标人的报价均超过了采购预算，采购人不能支付的；</w:t>
      </w:r>
      <w:r/>
    </w:p>
    <w:p>
      <w:pPr>
        <w:pStyle w:val="1102"/>
        <w:ind w:firstLine="420"/>
        <w:spacing w:line="360" w:lineRule="auto"/>
        <w:rPr>
          <w:rFonts w:eastAsia="宋体" w:cs="等线"/>
          <w:sz w:val="21"/>
          <w:szCs w:val="21"/>
          <w:highlight w:val="none"/>
        </w:rPr>
      </w:pPr>
      <w:r>
        <w:rPr>
          <w:rFonts w:hint="eastAsia" w:eastAsia="宋体" w:cs="等线"/>
          <w:sz w:val="21"/>
          <w:szCs w:val="21"/>
          <w:highlight w:val="none"/>
        </w:rPr>
        <w:t xml:space="preserve">2</w:t>
      </w:r>
      <w:r>
        <w:rPr>
          <w:rFonts w:hint="eastAsia" w:eastAsia="宋体" w:cs="等线"/>
          <w:sz w:val="21"/>
          <w:szCs w:val="21"/>
          <w:highlight w:val="none"/>
          <w:lang w:val="en-US"/>
        </w:rPr>
        <w:t xml:space="preserve">9</w:t>
      </w:r>
      <w:r>
        <w:rPr>
          <w:rFonts w:hint="eastAsia" w:eastAsia="宋体" w:cs="等线"/>
          <w:sz w:val="21"/>
          <w:szCs w:val="21"/>
          <w:highlight w:val="none"/>
        </w:rPr>
        <w:t xml:space="preserve">.1.4因重大变故，采购任务取消的；</w:t>
      </w:r>
      <w:r/>
    </w:p>
    <w:p>
      <w:pPr>
        <w:numPr>
          <w:ilvl w:val="1"/>
          <w:numId w:val="4"/>
        </w:numPr>
        <w:ind w:left="0"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废标后，采购人和采购代理机构将把废标的理由通知所有投标人。</w:t>
      </w:r>
      <w:r/>
    </w:p>
    <w:p>
      <w:pPr>
        <w:numPr>
          <w:ilvl w:val="0"/>
          <w:numId w:val="4"/>
        </w:numPr>
        <w:spacing w:line="276"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投标文件的评价和比较</w:t>
      </w:r>
      <w:r/>
    </w:p>
    <w:p>
      <w:pPr>
        <w:numPr>
          <w:ilvl w:val="1"/>
          <w:numId w:val="4"/>
        </w:numPr>
        <w:ind w:left="0" w:firstLine="420"/>
        <w:spacing w:line="276" w:lineRule="auto"/>
        <w:rPr>
          <w:rFonts w:ascii="宋体" w:hAnsi="宋体" w:eastAsia="宋体"/>
          <w:bCs/>
          <w:sz w:val="21"/>
          <w:szCs w:val="21"/>
          <w:highlight w:val="none"/>
        </w:rPr>
      </w:pPr>
      <w:r>
        <w:rPr>
          <w:rFonts w:hint="eastAsia" w:ascii="宋体" w:hAnsi="宋体" w:eastAsia="宋体"/>
          <w:bCs/>
          <w:sz w:val="21"/>
          <w:szCs w:val="21"/>
          <w:highlight w:val="none"/>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numPr>
          <w:ilvl w:val="1"/>
          <w:numId w:val="4"/>
        </w:numPr>
        <w:ind w:left="0" w:firstLine="420"/>
        <w:spacing w:line="276" w:lineRule="auto"/>
        <w:rPr>
          <w:rFonts w:ascii="宋体" w:hAnsi="宋体" w:eastAsia="宋体"/>
          <w:bCs/>
          <w:sz w:val="21"/>
          <w:szCs w:val="21"/>
          <w:highlight w:val="none"/>
        </w:rPr>
      </w:pPr>
      <w:r>
        <w:rPr>
          <w:rFonts w:hint="eastAsia" w:ascii="宋体" w:hAnsi="宋体" w:eastAsia="宋体"/>
          <w:bCs/>
          <w:sz w:val="21"/>
          <w:szCs w:val="21"/>
          <w:highlight w:val="none"/>
        </w:rPr>
        <w:t xml:space="preserve">最低的投标报价或最高的折扣比例是中标的重要条件，但不是唯一条件。</w:t>
      </w:r>
      <w:bookmarkStart w:id="18" w:name="_Toc19501"/>
      <w:r/>
      <w:bookmarkStart w:id="19" w:name="_Toc18442"/>
      <w:r/>
      <w:r/>
    </w:p>
    <w:p>
      <w:pPr>
        <w:numPr>
          <w:ilvl w:val="0"/>
          <w:numId w:val="3"/>
        </w:numPr>
        <w:spacing w:line="276" w:lineRule="auto"/>
        <w:rPr>
          <w:rFonts w:ascii="宋体" w:hAnsi="宋体" w:eastAsia="宋体"/>
          <w:b/>
          <w:sz w:val="21"/>
          <w:szCs w:val="21"/>
          <w:highlight w:val="none"/>
        </w:rPr>
      </w:pPr>
      <w:r>
        <w:rPr>
          <w:rFonts w:hint="eastAsia" w:ascii="宋体" w:hAnsi="宋体" w:eastAsia="宋体"/>
          <w:b/>
          <w:sz w:val="21"/>
          <w:szCs w:val="21"/>
          <w:highlight w:val="none"/>
        </w:rPr>
        <w:t xml:space="preserve">授予合同</w:t>
      </w:r>
      <w:bookmarkEnd w:id="18"/>
      <w:r/>
      <w:bookmarkEnd w:id="19"/>
      <w:r/>
      <w:r/>
    </w:p>
    <w:p>
      <w:pPr>
        <w:numPr>
          <w:ilvl w:val="0"/>
          <w:numId w:val="4"/>
        </w:numPr>
        <w:spacing w:line="276"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中标单位的确认</w:t>
      </w:r>
      <w:r/>
    </w:p>
    <w:p>
      <w:pPr>
        <w:numPr>
          <w:ilvl w:val="1"/>
          <w:numId w:val="4"/>
        </w:numPr>
        <w:ind w:left="0" w:firstLine="420"/>
        <w:spacing w:line="276" w:lineRule="auto"/>
        <w:rPr>
          <w:rFonts w:ascii="宋体" w:hAnsi="宋体" w:eastAsia="宋体"/>
          <w:bCs/>
          <w:sz w:val="21"/>
          <w:szCs w:val="21"/>
          <w:highlight w:val="none"/>
        </w:rPr>
      </w:pPr>
      <w:r>
        <w:rPr>
          <w:rFonts w:hint="eastAsia" w:ascii="宋体" w:hAnsi="宋体" w:eastAsia="宋体"/>
          <w:bCs/>
          <w:sz w:val="21"/>
          <w:szCs w:val="21"/>
          <w:highlight w:val="none"/>
        </w:rPr>
        <w:t xml:space="preserve">评标委员会根据投标人资格审查情况，对投标文件进行评价和比较，按照评标办法和标准进行评标，并按采购人的委托向采购人推荐中标人。</w:t>
      </w:r>
      <w:r/>
    </w:p>
    <w:p>
      <w:pPr>
        <w:numPr>
          <w:ilvl w:val="1"/>
          <w:numId w:val="4"/>
        </w:numPr>
        <w:ind w:left="0" w:firstLine="420"/>
        <w:spacing w:line="276" w:lineRule="auto"/>
        <w:rPr>
          <w:rFonts w:ascii="宋体" w:hAnsi="宋体" w:eastAsia="宋体"/>
          <w:bCs/>
          <w:sz w:val="21"/>
          <w:szCs w:val="21"/>
          <w:highlight w:val="none"/>
        </w:rPr>
      </w:pPr>
      <w:r>
        <w:rPr>
          <w:rFonts w:hint="eastAsia" w:ascii="宋体" w:hAnsi="宋体" w:eastAsia="宋体"/>
          <w:bCs/>
          <w:sz w:val="21"/>
          <w:szCs w:val="21"/>
          <w:highlight w:val="none"/>
        </w:rPr>
        <w:t xml:space="preserve">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numPr>
          <w:ilvl w:val="0"/>
          <w:numId w:val="4"/>
        </w:numPr>
        <w:spacing w:line="276"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合同授予标准</w:t>
      </w:r>
      <w:r/>
    </w:p>
    <w:p>
      <w:pPr>
        <w:ind w:firstLine="420"/>
        <w:spacing w:line="276" w:lineRule="auto"/>
        <w:tabs>
          <w:tab w:val="left" w:pos="425" w:leader="none"/>
          <w:tab w:val="left" w:pos="1134" w:leader="none"/>
        </w:tabs>
        <w:rPr>
          <w:rFonts w:ascii="宋体" w:hAnsi="宋体" w:eastAsia="宋体"/>
          <w:bCs/>
          <w:sz w:val="21"/>
          <w:szCs w:val="21"/>
          <w:highlight w:val="none"/>
        </w:rPr>
      </w:pPr>
      <w:r>
        <w:rPr>
          <w:rFonts w:hint="eastAsia" w:ascii="宋体" w:hAnsi="宋体" w:eastAsia="宋体"/>
          <w:bCs/>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numPr>
          <w:ilvl w:val="0"/>
          <w:numId w:val="4"/>
        </w:numPr>
        <w:spacing w:line="276"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中标通知书</w:t>
      </w:r>
      <w:r/>
    </w:p>
    <w:p>
      <w:pPr>
        <w:numPr>
          <w:ilvl w:val="1"/>
          <w:numId w:val="4"/>
        </w:numPr>
        <w:ind w:left="0" w:firstLine="420"/>
        <w:spacing w:line="276" w:lineRule="auto"/>
        <w:rPr>
          <w:rFonts w:ascii="宋体" w:hAnsi="宋体" w:eastAsia="宋体"/>
          <w:bCs/>
          <w:sz w:val="21"/>
          <w:szCs w:val="21"/>
          <w:highlight w:val="none"/>
        </w:rPr>
      </w:pPr>
      <w:r>
        <w:rPr>
          <w:rFonts w:hint="eastAsia" w:ascii="宋体" w:hAnsi="宋体" w:eastAsia="宋体"/>
          <w:bCs/>
          <w:sz w:val="21"/>
          <w:szCs w:val="21"/>
          <w:highlight w:val="none"/>
        </w:rPr>
        <w:t xml:space="preserve">确定出中标人后，</w:t>
      </w:r>
      <w:r>
        <w:rPr>
          <w:rFonts w:hint="eastAsia" w:ascii="宋体" w:hAnsi="宋体" w:eastAsia="宋体"/>
          <w:b/>
          <w:sz w:val="21"/>
          <w:szCs w:val="21"/>
          <w:highlight w:val="none"/>
        </w:rPr>
        <w:t xml:space="preserve">采购代理机构在法定时间内向中标人发出中标通知书。请中标人在中标结果公告届满之日起30日内,使用CA证书登录“苏采云”系统及时下载中标通知书。</w:t>
      </w:r>
      <w:r>
        <w:rPr>
          <w:rFonts w:hint="eastAsia" w:ascii="宋体" w:hAnsi="宋体" w:eastAsia="宋体"/>
          <w:bCs/>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numPr>
          <w:ilvl w:val="1"/>
          <w:numId w:val="4"/>
        </w:numPr>
        <w:ind w:left="0" w:firstLine="420"/>
        <w:spacing w:line="276" w:lineRule="auto"/>
        <w:rPr>
          <w:rFonts w:ascii="宋体" w:hAnsi="宋体" w:eastAsia="宋体"/>
          <w:bCs/>
          <w:sz w:val="21"/>
          <w:szCs w:val="21"/>
          <w:highlight w:val="none"/>
        </w:rPr>
      </w:pPr>
      <w:r>
        <w:rPr>
          <w:rFonts w:hint="eastAsia" w:ascii="宋体" w:hAnsi="宋体" w:eastAsia="宋体"/>
          <w:bCs/>
          <w:sz w:val="21"/>
          <w:szCs w:val="21"/>
          <w:highlight w:val="none"/>
        </w:rPr>
        <w:t xml:space="preserve">中标通知书将成为合同的组成部分，对采购人和中标人具有同等法律效力。</w:t>
      </w:r>
      <w:r/>
    </w:p>
    <w:p>
      <w:pPr>
        <w:numPr>
          <w:ilvl w:val="1"/>
          <w:numId w:val="4"/>
        </w:numPr>
        <w:ind w:left="0" w:firstLine="420"/>
        <w:spacing w:line="276" w:lineRule="auto"/>
        <w:rPr>
          <w:rFonts w:ascii="宋体" w:hAnsi="宋体" w:eastAsia="宋体"/>
          <w:bCs/>
          <w:sz w:val="21"/>
          <w:szCs w:val="21"/>
          <w:highlight w:val="none"/>
        </w:rPr>
      </w:pPr>
      <w:r>
        <w:rPr>
          <w:rFonts w:hint="eastAsia" w:ascii="宋体" w:hAnsi="宋体" w:eastAsia="宋体"/>
          <w:bCs/>
          <w:sz w:val="21"/>
          <w:szCs w:val="21"/>
          <w:highlight w:val="none"/>
        </w:rPr>
        <w:t xml:space="preserve">中标通知书发出后，采购人不得违法改变中标结果，中标人无正当理由不得放弃中标。</w:t>
      </w:r>
      <w:r/>
    </w:p>
    <w:p>
      <w:pPr>
        <w:numPr>
          <w:ilvl w:val="0"/>
          <w:numId w:val="4"/>
        </w:numPr>
        <w:spacing w:line="276"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合同的签订</w:t>
      </w:r>
      <w:r/>
    </w:p>
    <w:p>
      <w:pPr>
        <w:pStyle w:val="705"/>
        <w:numPr>
          <w:ilvl w:val="1"/>
          <w:numId w:val="4"/>
        </w:numPr>
        <w:ind w:left="0" w:firstLine="502"/>
        <w:jc w:val="both"/>
        <w:spacing w:line="276"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中标单位应按中标通知书中规定的时间和地点，由法定代表人或委托代理人与甲方代表签订合同,否则按放弃中标权处理。</w:t>
      </w:r>
      <w:r/>
    </w:p>
    <w:p>
      <w:pPr>
        <w:pStyle w:val="705"/>
        <w:numPr>
          <w:ilvl w:val="1"/>
          <w:numId w:val="4"/>
        </w:numPr>
        <w:ind w:left="0" w:firstLine="502"/>
        <w:jc w:val="both"/>
        <w:spacing w:line="276" w:lineRule="auto"/>
        <w:rPr>
          <w:rFonts w:ascii="宋体" w:hAnsi="宋体" w:eastAsia="宋体" w:cs="宋体"/>
          <w:sz w:val="21"/>
          <w:szCs w:val="21"/>
          <w:highlight w:val="none"/>
        </w:rPr>
      </w:pPr>
      <w:r/>
      <w:bookmarkStart w:id="20" w:name="_Toc8186"/>
      <w:r/>
      <w:bookmarkStart w:id="21" w:name="_Toc21029"/>
      <w:r>
        <w:rPr>
          <w:rFonts w:hint="eastAsia" w:ascii="宋体" w:hAnsi="宋体" w:eastAsia="宋体" w:cs="宋体"/>
          <w:sz w:val="21"/>
          <w:szCs w:val="21"/>
          <w:highlight w:val="none"/>
        </w:rPr>
        <w:t xml:space="preserve">签订合同及合同条款应以招标文件和中标单位的投标文件及其澄清文件为依据。</w:t>
      </w:r>
      <w:r/>
    </w:p>
    <w:p>
      <w:pPr>
        <w:pStyle w:val="705"/>
        <w:numPr>
          <w:ilvl w:val="1"/>
          <w:numId w:val="4"/>
        </w:numPr>
        <w:ind w:left="0" w:firstLine="502"/>
        <w:jc w:val="both"/>
        <w:spacing w:line="276"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中标人无正当理由拒签合同的，或在签订合同时向采购单位提出附加条件或者更改合同实质性内容的，报相关政府采购监督部门处理。</w:t>
      </w:r>
      <w:r/>
    </w:p>
    <w:p>
      <w:pPr>
        <w:numPr>
          <w:ilvl w:val="0"/>
          <w:numId w:val="3"/>
        </w:numPr>
        <w:spacing w:line="276" w:lineRule="auto"/>
        <w:rPr>
          <w:rFonts w:ascii="宋体" w:hAnsi="宋体" w:eastAsia="宋体"/>
          <w:b/>
          <w:sz w:val="21"/>
          <w:szCs w:val="21"/>
          <w:highlight w:val="none"/>
        </w:rPr>
      </w:pPr>
      <w:r>
        <w:rPr>
          <w:rFonts w:hint="eastAsia" w:ascii="宋体" w:hAnsi="宋体" w:eastAsia="宋体"/>
          <w:b/>
          <w:sz w:val="21"/>
          <w:szCs w:val="21"/>
          <w:highlight w:val="none"/>
        </w:rPr>
        <w:t xml:space="preserve">其他事项</w:t>
      </w:r>
      <w:bookmarkEnd w:id="20"/>
      <w:r/>
      <w:bookmarkEnd w:id="21"/>
      <w:r/>
      <w:r/>
    </w:p>
    <w:p>
      <w:pPr>
        <w:numPr>
          <w:ilvl w:val="0"/>
          <w:numId w:val="4"/>
        </w:numPr>
        <w:spacing w:line="276"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中标服务费</w:t>
      </w:r>
      <w:r/>
    </w:p>
    <w:p>
      <w:pPr>
        <w:numPr>
          <w:ilvl w:val="0"/>
          <w:numId w:val="4"/>
        </w:numPr>
        <w:spacing w:line="276" w:lineRule="auto"/>
        <w:rPr>
          <w:rFonts w:ascii="宋体" w:hAnsi="宋体" w:eastAsia="宋体"/>
          <w:b/>
          <w:bCs/>
          <w:sz w:val="21"/>
          <w:szCs w:val="21"/>
          <w:highlight w:val="none"/>
        </w:rPr>
      </w:pPr>
      <w:r>
        <w:rPr>
          <w:rFonts w:hint="eastAsia" w:ascii="宋体" w:hAnsi="宋体" w:eastAsia="宋体"/>
          <w:sz w:val="21"/>
          <w:szCs w:val="21"/>
          <w:highlight w:val="none"/>
        </w:rPr>
        <w:t xml:space="preserve">中标服务费由中标单位在领取中标通知书时付清（供应商所投报价应当包含该项目代理服务费）以预算金额作为收费基数标准，按收费比例差额定率累进法计算并支付，具体为100万元以内1.5%、100万元（含）-500万元以内1.1%、500万元（含）-1000万元以内0.8%、1000万元（含）-5000万元以内0.5%、5000万元以上0.25%差额定率累进法计算并支付中标服务费。</w:t>
      </w:r>
      <w:r>
        <w:rPr>
          <w:rFonts w:hint="eastAsia" w:ascii="宋体" w:hAnsi="宋体" w:eastAsia="宋体" w:cs="等线"/>
          <w:sz w:val="21"/>
          <w:szCs w:val="21"/>
          <w:highlight w:val="none"/>
          <w:lang w:val="zh-CN"/>
        </w:rPr>
        <w:t xml:space="preserve">代理费为：</w:t>
      </w:r>
      <w:r>
        <w:rPr>
          <w:rFonts w:hint="eastAsia" w:ascii="宋体" w:hAnsi="宋体" w:eastAsia="宋体" w:cs="等线"/>
          <w:sz w:val="21"/>
          <w:szCs w:val="21"/>
          <w:highlight w:val="none"/>
          <w:lang w:val="en-US" w:eastAsia="zh-CN"/>
        </w:rPr>
        <w:t xml:space="preserve">42280.00元。</w:t>
      </w:r>
      <w:r/>
    </w:p>
    <w:p>
      <w:pPr>
        <w:ind w:firstLine="420"/>
        <w:spacing w:line="276" w:lineRule="auto"/>
        <w:rPr>
          <w:rFonts w:ascii="宋体" w:hAnsi="宋体" w:eastAsia="宋体"/>
          <w:sz w:val="21"/>
          <w:szCs w:val="21"/>
          <w:highlight w:val="none"/>
        </w:rPr>
      </w:pPr>
      <w:r>
        <w:rPr>
          <w:rFonts w:hint="eastAsia" w:ascii="宋体" w:hAnsi="宋体" w:eastAsia="宋体"/>
          <w:sz w:val="21"/>
          <w:szCs w:val="21"/>
          <w:highlight w:val="none"/>
        </w:rPr>
        <w:t xml:space="preserve">政府有关监督部门将对招投标全过程进行监督。</w:t>
      </w:r>
      <w:r/>
    </w:p>
    <w:p>
      <w:pPr>
        <w:numPr>
          <w:ilvl w:val="0"/>
          <w:numId w:val="4"/>
        </w:numPr>
        <w:spacing w:line="276"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未尽事宜</w:t>
      </w:r>
      <w:r/>
    </w:p>
    <w:p>
      <w:pPr>
        <w:ind w:firstLine="420"/>
        <w:spacing w:line="276" w:lineRule="auto"/>
        <w:rPr>
          <w:rFonts w:ascii="宋体" w:hAnsi="宋体" w:eastAsia="宋体"/>
          <w:sz w:val="21"/>
          <w:szCs w:val="21"/>
          <w:highlight w:val="none"/>
        </w:rPr>
      </w:pPr>
      <w:r>
        <w:rPr>
          <w:rFonts w:hint="eastAsia" w:ascii="宋体" w:hAnsi="宋体" w:eastAsia="宋体"/>
          <w:sz w:val="21"/>
          <w:szCs w:val="21"/>
          <w:highlight w:val="none"/>
        </w:rPr>
        <w:t xml:space="preserve">按《中华人民共和国政府采购法》及其他有关的法律法规的规定执行。</w:t>
      </w:r>
      <w:r/>
    </w:p>
    <w:p>
      <w:pPr>
        <w:pStyle w:val="727"/>
        <w:ind w:left="0"/>
        <w:jc w:val="center"/>
        <w:spacing w:after="0" w:line="276" w:lineRule="auto"/>
        <w:rPr>
          <w:rFonts w:ascii="宋体" w:hAnsi="宋体" w:eastAsia="宋体"/>
          <w:sz w:val="32"/>
          <w:szCs w:val="32"/>
          <w:highlight w:val="none"/>
        </w:rPr>
        <w:outlineLvl w:val="0"/>
      </w:pPr>
      <w:r>
        <w:rPr>
          <w:rFonts w:hint="eastAsia" w:ascii="宋体" w:hAnsi="宋体" w:eastAsia="宋体"/>
          <w:b/>
          <w:sz w:val="32"/>
          <w:szCs w:val="32"/>
          <w:highlight w:val="none"/>
        </w:rPr>
        <w:br w:type="page" w:clear="all"/>
      </w:r>
      <w:bookmarkStart w:id="22" w:name="_Toc35951273"/>
      <w:r/>
      <w:bookmarkStart w:id="23" w:name="_Toc492394289"/>
      <w:r>
        <w:rPr>
          <w:rFonts w:hint="eastAsia" w:ascii="宋体" w:hAnsi="宋体" w:eastAsia="宋体"/>
          <w:b/>
          <w:sz w:val="32"/>
          <w:szCs w:val="32"/>
          <w:highlight w:val="none"/>
        </w:rPr>
        <w:t xml:space="preserve">第三章 投标文件格式</w:t>
      </w:r>
      <w:bookmarkEnd w:id="13"/>
      <w:r/>
      <w:bookmarkEnd w:id="14"/>
      <w:r/>
      <w:bookmarkEnd w:id="22"/>
      <w:r/>
      <w:bookmarkEnd w:id="23"/>
      <w:r/>
      <w:r/>
    </w:p>
    <w:p>
      <w:pPr>
        <w:pStyle w:val="705"/>
        <w:ind w:firstLine="0"/>
        <w:jc w:val="both"/>
        <w:spacing w:line="360" w:lineRule="auto"/>
        <w:rPr>
          <w:rFonts w:ascii="宋体" w:hAnsi="宋体" w:eastAsia="宋体"/>
          <w:b/>
          <w:sz w:val="21"/>
          <w:szCs w:val="21"/>
          <w:highlight w:val="none"/>
        </w:rPr>
      </w:pPr>
      <w:r>
        <w:rPr>
          <w:rFonts w:ascii="宋体" w:hAnsi="宋体" w:eastAsia="宋体"/>
          <w:b/>
          <w:sz w:val="21"/>
          <w:szCs w:val="21"/>
          <w:highlight w:val="none"/>
        </w:rPr>
      </w:r>
      <w:r/>
    </w:p>
    <w:p>
      <w:pPr>
        <w:pStyle w:val="705"/>
        <w:ind w:firstLine="0"/>
        <w:jc w:val="both"/>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说明：</w:t>
      </w:r>
      <w:r/>
    </w:p>
    <w:p>
      <w:pPr>
        <w:pStyle w:val="705"/>
        <w:ind w:firstLine="422"/>
        <w:jc w:val="both"/>
        <w:spacing w:line="360" w:lineRule="auto"/>
        <w:rPr>
          <w:rFonts w:hint="eastAsia" w:ascii="宋体" w:hAnsi="宋体" w:eastAsia="宋体"/>
          <w:b/>
          <w:sz w:val="21"/>
          <w:szCs w:val="21"/>
          <w:highlight w:val="none"/>
        </w:rPr>
      </w:pPr>
      <w:r/>
      <w:bookmarkStart w:id="24" w:name="_Toc142194266"/>
      <w:r>
        <w:rPr>
          <w:rFonts w:hint="eastAsia" w:ascii="宋体" w:hAnsi="宋体" w:eastAsia="宋体"/>
          <w:b/>
          <w:sz w:val="21"/>
          <w:szCs w:val="21"/>
          <w:highlight w:val="none"/>
        </w:rPr>
        <w:t xml:space="preserve">对本章所有的投标书格式 ，投标方可根据自身情况进行补充和修改，但补充和修改不得造成与本格式内容有实质性的违背。</w:t>
      </w:r>
      <w:bookmarkStart w:id="25" w:name="_Toc492394290"/>
      <w:r/>
      <w:r/>
    </w:p>
    <w:p>
      <w:pPr>
        <w:pStyle w:val="705"/>
        <w:ind w:firstLine="422"/>
        <w:jc w:val="both"/>
        <w:spacing w:line="360" w:lineRule="auto"/>
        <w:rPr>
          <w:rFonts w:hAnsi="宋体" w:eastAsia="宋体"/>
          <w:b/>
          <w:sz w:val="21"/>
          <w:szCs w:val="21"/>
          <w:highlight w:val="none"/>
        </w:rPr>
      </w:pPr>
      <w:r>
        <w:rPr>
          <w:rFonts w:hint="eastAsia" w:hAnsi="宋体" w:eastAsia="宋体"/>
          <w:b/>
          <w:sz w:val="21"/>
          <w:szCs w:val="21"/>
          <w:highlight w:val="none"/>
        </w:rPr>
        <w:t xml:space="preserve">一、投标函</w:t>
      </w:r>
      <w:bookmarkEnd w:id="24"/>
      <w:r/>
      <w:bookmarkEnd w:id="25"/>
      <w:r/>
      <w:r/>
    </w:p>
    <w:p>
      <w:pPr>
        <w:pStyle w:val="939"/>
        <w:jc w:val="center"/>
        <w:spacing w:line="360" w:lineRule="auto"/>
        <w:rPr>
          <w:rFonts w:hAnsi="宋体" w:eastAsia="宋体"/>
          <w:b/>
          <w:szCs w:val="28"/>
          <w:highlight w:val="none"/>
        </w:rPr>
      </w:pPr>
      <w:r>
        <w:rPr>
          <w:rFonts w:hint="eastAsia" w:hAnsi="宋体" w:eastAsia="宋体"/>
          <w:b/>
          <w:szCs w:val="28"/>
          <w:highlight w:val="none"/>
        </w:rPr>
        <w:t xml:space="preserve">投标函</w:t>
      </w:r>
      <w:r/>
    </w:p>
    <w:p>
      <w:pPr>
        <w:pStyle w:val="939"/>
        <w:ind w:firstLine="105"/>
        <w:spacing w:line="276" w:lineRule="auto"/>
        <w:rPr>
          <w:rFonts w:hAnsi="宋体" w:eastAsia="宋体"/>
          <w:b/>
          <w:sz w:val="21"/>
          <w:szCs w:val="21"/>
          <w:highlight w:val="none"/>
        </w:rPr>
      </w:pPr>
      <w:r>
        <w:rPr>
          <w:rFonts w:hint="eastAsia" w:hAnsi="宋体" w:eastAsia="宋体"/>
          <w:sz w:val="21"/>
          <w:szCs w:val="21"/>
          <w:highlight w:val="none"/>
          <w:u w:val="single"/>
          <w:lang w:eastAsia="zh-CN"/>
        </w:rPr>
        <w:t xml:space="preserve">苏州嘉泓瑞项目管理咨询有限公司</w:t>
      </w:r>
      <w:r>
        <w:rPr>
          <w:rFonts w:hint="eastAsia" w:hAnsi="宋体" w:eastAsia="宋体"/>
          <w:sz w:val="21"/>
          <w:szCs w:val="21"/>
          <w:highlight w:val="none"/>
          <w:u w:val="single"/>
        </w:rPr>
        <w:t xml:space="preserve"> </w:t>
      </w:r>
      <w:r>
        <w:rPr>
          <w:rFonts w:hint="eastAsia" w:hAnsi="宋体" w:eastAsia="宋体"/>
          <w:sz w:val="21"/>
          <w:szCs w:val="21"/>
          <w:highlight w:val="none"/>
        </w:rPr>
        <w:t xml:space="preserve">：</w:t>
      </w:r>
      <w:r/>
    </w:p>
    <w:p>
      <w:pPr>
        <w:pStyle w:val="939"/>
        <w:ind w:firstLine="420"/>
        <w:spacing w:line="276" w:lineRule="auto"/>
        <w:rPr>
          <w:rFonts w:hAnsi="宋体" w:eastAsia="宋体"/>
          <w:sz w:val="21"/>
          <w:szCs w:val="21"/>
          <w:highlight w:val="none"/>
        </w:rPr>
      </w:pPr>
      <w:r>
        <w:rPr>
          <w:rFonts w:hint="eastAsia" w:hAnsi="宋体" w:eastAsia="宋体"/>
          <w:sz w:val="21"/>
          <w:szCs w:val="21"/>
          <w:highlight w:val="none"/>
        </w:rPr>
        <w:t xml:space="preserve">我们收到贵公司</w:t>
      </w:r>
      <w:r>
        <w:rPr>
          <w:rFonts w:hAnsi="宋体" w:eastAsia="宋体"/>
          <w:sz w:val="21"/>
          <w:szCs w:val="21"/>
          <w:highlight w:val="none"/>
          <w:u w:val="single"/>
        </w:rPr>
        <w:t xml:space="preserve">                    </w:t>
      </w:r>
      <w:r>
        <w:rPr>
          <w:rFonts w:hint="eastAsia" w:hAnsi="宋体" w:eastAsia="宋体"/>
          <w:sz w:val="21"/>
          <w:szCs w:val="21"/>
          <w:highlight w:val="none"/>
        </w:rPr>
        <w:t xml:space="preserve">号招标文件，经仔细阅读和研究，我们决定参加投标。</w:t>
      </w:r>
      <w:r/>
    </w:p>
    <w:p>
      <w:pPr>
        <w:pStyle w:val="939"/>
        <w:ind w:firstLine="420"/>
        <w:spacing w:line="276" w:lineRule="auto"/>
        <w:rPr>
          <w:rFonts w:hAnsi="宋体" w:eastAsia="宋体"/>
          <w:sz w:val="21"/>
          <w:szCs w:val="21"/>
          <w:highlight w:val="none"/>
        </w:rPr>
      </w:pPr>
      <w:r>
        <w:rPr>
          <w:rFonts w:hint="eastAsia" w:hAnsi="宋体" w:eastAsia="宋体"/>
          <w:sz w:val="21"/>
          <w:szCs w:val="21"/>
          <w:highlight w:val="none"/>
        </w:rPr>
        <w:t xml:space="preserve">1、我们愿意按照招标文件的一切要求，提供包括完成该项目所需的全部内容，我们的投标报价</w:t>
      </w:r>
      <w:r>
        <w:rPr>
          <w:rFonts w:hint="eastAsia" w:ascii="宋体" w:hAnsi="宋体" w:eastAsia="宋体"/>
          <w:sz w:val="21"/>
          <w:szCs w:val="21"/>
          <w:highlight w:val="none"/>
        </w:rPr>
        <w:t xml:space="preserve">包括所投产品（含附属配套设施设备、器材）及其备品、备件和专用工具费用、税费及包装、运至最终目的地的运输、车辆上牌前的临时保险、现场吊装、检测验收、安装调试、验收及相关费用、协助车辆上牌、技术支持与培训、售后服务与维保及相关劳务支出等工作所发生的全部费用以及投标人利润、税金和政策性文件规定及合同包含的所有风险、责任等各项应有费用。（车辆购置税和机动车保险费用不含在投标总报价中</w:t>
      </w:r>
      <w:r>
        <w:rPr>
          <w:rFonts w:hint="eastAsia" w:ascii="宋体" w:hAnsi="宋体" w:eastAsia="宋体" w:cs="宋体"/>
          <w:sz w:val="21"/>
          <w:szCs w:val="24"/>
          <w:highlight w:val="none"/>
        </w:rPr>
        <w:t xml:space="preserve">。</w:t>
      </w:r>
      <w:r>
        <w:rPr>
          <w:rFonts w:hint="eastAsia" w:ascii="宋体" w:hAnsi="宋体" w:eastAsia="宋体"/>
          <w:sz w:val="21"/>
          <w:szCs w:val="21"/>
          <w:highlight w:val="none"/>
        </w:rPr>
        <w:t xml:space="preserve">）</w:t>
      </w:r>
      <w:r/>
    </w:p>
    <w:p>
      <w:pPr>
        <w:pStyle w:val="939"/>
        <w:ind w:firstLine="420"/>
        <w:spacing w:line="276" w:lineRule="auto"/>
        <w:rPr>
          <w:rFonts w:hAnsi="宋体" w:eastAsia="宋体"/>
          <w:sz w:val="21"/>
          <w:szCs w:val="21"/>
          <w:highlight w:val="none"/>
        </w:rPr>
      </w:pPr>
      <w:r>
        <w:rPr>
          <w:rFonts w:hint="eastAsia" w:hAnsi="宋体" w:eastAsia="宋体"/>
          <w:sz w:val="21"/>
          <w:szCs w:val="21"/>
          <w:highlight w:val="none"/>
        </w:rPr>
        <w:t xml:space="preserve">2、如果我们的投标文件被接受，我们将严格履行招标文件中规定的每一项要求，按期、按质、按量履行合同的义务。</w:t>
      </w:r>
      <w:r/>
    </w:p>
    <w:p>
      <w:pPr>
        <w:pStyle w:val="939"/>
        <w:ind w:firstLine="420"/>
        <w:spacing w:line="276" w:lineRule="auto"/>
        <w:rPr>
          <w:rFonts w:hAnsi="宋体" w:eastAsia="宋体"/>
          <w:sz w:val="21"/>
          <w:szCs w:val="21"/>
          <w:highlight w:val="none"/>
        </w:rPr>
      </w:pPr>
      <w:r>
        <w:rPr>
          <w:rFonts w:hint="eastAsia" w:hAnsi="宋体" w:eastAsia="宋体"/>
          <w:sz w:val="21"/>
          <w:szCs w:val="21"/>
          <w:highlight w:val="none"/>
        </w:rPr>
        <w:t xml:space="preserve">3、我们已详细审查全部招标文件，包括更正公告（如果有）。我们完全理解并同意放弃对这方面有不明及误解的权力。</w:t>
      </w:r>
      <w:r/>
    </w:p>
    <w:p>
      <w:pPr>
        <w:pStyle w:val="939"/>
        <w:ind w:firstLine="420"/>
        <w:spacing w:line="276" w:lineRule="auto"/>
        <w:rPr>
          <w:rFonts w:hAnsi="宋体" w:eastAsia="宋体"/>
          <w:sz w:val="21"/>
          <w:szCs w:val="21"/>
          <w:highlight w:val="none"/>
        </w:rPr>
      </w:pPr>
      <w:r>
        <w:rPr>
          <w:rFonts w:hint="eastAsia" w:hAnsi="宋体" w:eastAsia="宋体"/>
          <w:sz w:val="21"/>
          <w:szCs w:val="21"/>
          <w:highlight w:val="none"/>
        </w:rPr>
        <w:t xml:space="preserve">4、我们同意按招标文件中的规定，本投标文件的有效期限为投标截止之日起60日内。</w:t>
      </w:r>
      <w:r/>
    </w:p>
    <w:p>
      <w:pPr>
        <w:pStyle w:val="1037"/>
        <w:ind w:firstLine="420"/>
        <w:spacing w:line="276" w:lineRule="auto"/>
        <w:rPr>
          <w:rFonts w:hAnsi="宋体" w:eastAsia="宋体"/>
          <w:sz w:val="21"/>
          <w:szCs w:val="21"/>
          <w:highlight w:val="none"/>
        </w:rPr>
      </w:pPr>
      <w:r>
        <w:rPr>
          <w:rFonts w:hint="eastAsia" w:hAnsi="宋体" w:eastAsia="宋体"/>
          <w:sz w:val="21"/>
          <w:szCs w:val="21"/>
          <w:highlight w:val="none"/>
        </w:rPr>
        <w:t xml:space="preserve">5、我们愿意提供招标代理机构在招标文件中要求的所有资料。也同意向招标代理机构提供招标代理机构可能另外要求的与投标有关的任何证据或资料。并保证所提供的资料全部是真实的、有效的，若有虚假，我们愿承担一切责任。</w:t>
      </w:r>
      <w:r/>
    </w:p>
    <w:p>
      <w:pPr>
        <w:pStyle w:val="1037"/>
        <w:ind w:firstLine="420"/>
        <w:spacing w:line="276" w:lineRule="auto"/>
        <w:rPr>
          <w:rFonts w:hAnsi="宋体" w:eastAsia="宋体"/>
          <w:sz w:val="21"/>
          <w:szCs w:val="21"/>
          <w:highlight w:val="none"/>
        </w:rPr>
      </w:pPr>
      <w:r>
        <w:rPr>
          <w:rFonts w:hint="eastAsia" w:hAnsi="宋体" w:eastAsia="宋体"/>
          <w:sz w:val="21"/>
          <w:szCs w:val="21"/>
          <w:highlight w:val="none"/>
        </w:rPr>
        <w:t xml:space="preserve">6、我们声明：我们在参加本次政府采购活动前三年内在经营活动中没有重大违法记录。</w:t>
      </w:r>
      <w:r/>
    </w:p>
    <w:p>
      <w:pPr>
        <w:pStyle w:val="705"/>
        <w:jc w:val="both"/>
        <w:spacing w:line="276" w:lineRule="auto"/>
        <w:rPr>
          <w:rFonts w:ascii="宋体" w:hAnsi="宋体" w:eastAsia="宋体"/>
          <w:sz w:val="21"/>
          <w:szCs w:val="21"/>
          <w:highlight w:val="none"/>
        </w:rPr>
      </w:pPr>
      <w:r>
        <w:rPr>
          <w:rFonts w:hint="eastAsia" w:ascii="宋体" w:hAnsi="宋体" w:eastAsia="宋体"/>
          <w:sz w:val="21"/>
          <w:szCs w:val="21"/>
          <w:highlight w:val="none"/>
        </w:rPr>
        <w:t xml:space="preserve">7、我们愿意遵守招标公告及招标文件中所列的收费标准。</w:t>
      </w:r>
      <w:r/>
    </w:p>
    <w:p>
      <w:pPr>
        <w:pStyle w:val="1037"/>
        <w:ind w:firstLine="420"/>
        <w:spacing w:line="276" w:lineRule="auto"/>
        <w:rPr>
          <w:rFonts w:hAnsi="宋体" w:eastAsia="宋体"/>
          <w:sz w:val="21"/>
          <w:szCs w:val="21"/>
          <w:highlight w:val="none"/>
        </w:rPr>
      </w:pPr>
      <w:r>
        <w:rPr>
          <w:rFonts w:hint="eastAsia" w:hAnsi="宋体" w:eastAsia="宋体"/>
          <w:sz w:val="21"/>
          <w:szCs w:val="21"/>
          <w:highlight w:val="none"/>
        </w:rPr>
        <w:t xml:space="preserve">8、我们承诺该项投标在开标后的全过程中保持有效，不作任何更改和变动。我们同意中标后若不履行投标文件的内容要求和各项承诺及义务的即被视为违约，其中标资格将被取消，并接受相应的处罚。</w:t>
      </w:r>
      <w:r/>
    </w:p>
    <w:p>
      <w:pPr>
        <w:pStyle w:val="1037"/>
        <w:ind w:firstLine="420"/>
        <w:spacing w:line="276" w:lineRule="auto"/>
        <w:rPr>
          <w:rFonts w:hAnsi="宋体" w:eastAsia="宋体"/>
          <w:sz w:val="21"/>
          <w:szCs w:val="21"/>
          <w:highlight w:val="none"/>
        </w:rPr>
      </w:pPr>
      <w:r>
        <w:rPr>
          <w:rFonts w:hint="eastAsia" w:hAnsi="宋体" w:eastAsia="宋体"/>
          <w:sz w:val="21"/>
          <w:szCs w:val="21"/>
          <w:highlight w:val="none"/>
        </w:rPr>
        <w:t xml:space="preserve">9、如果我们中标，我们愿意按招标文件的规定支付代理服务费，逾期按中国人民银行公布的同期人民币贷款最高利率计付利息；</w:t>
      </w:r>
      <w:r/>
    </w:p>
    <w:p>
      <w:pPr>
        <w:pStyle w:val="1037"/>
        <w:ind w:firstLine="420"/>
        <w:spacing w:line="276" w:lineRule="auto"/>
        <w:rPr>
          <w:rFonts w:hAnsi="宋体" w:eastAsia="宋体"/>
          <w:sz w:val="21"/>
          <w:szCs w:val="21"/>
          <w:highlight w:val="none"/>
        </w:rPr>
      </w:pPr>
      <w:r>
        <w:rPr>
          <w:rFonts w:hint="eastAsia" w:hAnsi="宋体" w:eastAsia="宋体"/>
          <w:sz w:val="21"/>
          <w:szCs w:val="21"/>
          <w:highlight w:val="none"/>
        </w:rPr>
        <w:t xml:space="preserve">10、我们承诺我公司符合招标文件投标人须知中“合格投标人的资格条件”的要求，若与真实情况不符，本公司愿意承担由此而产生的一切后果。</w:t>
      </w:r>
      <w:r/>
    </w:p>
    <w:p>
      <w:pPr>
        <w:pStyle w:val="1037"/>
        <w:ind w:firstLine="420"/>
        <w:spacing w:line="276" w:lineRule="auto"/>
        <w:rPr>
          <w:rFonts w:hAnsi="宋体" w:eastAsia="宋体"/>
          <w:sz w:val="21"/>
          <w:szCs w:val="21"/>
          <w:highlight w:val="none"/>
        </w:rPr>
      </w:pPr>
      <w:r>
        <w:rPr>
          <w:rFonts w:hint="eastAsia" w:hAnsi="宋体" w:eastAsia="宋体"/>
          <w:sz w:val="21"/>
          <w:szCs w:val="21"/>
          <w:highlight w:val="none"/>
        </w:rPr>
        <w:t xml:space="preserve">11、综合说明：</w:t>
      </w:r>
      <w:r/>
    </w:p>
    <w:p>
      <w:pPr>
        <w:pStyle w:val="1037"/>
        <w:ind w:firstLine="420"/>
        <w:spacing w:line="276" w:lineRule="auto"/>
        <w:rPr>
          <w:rFonts w:hAnsi="宋体" w:eastAsia="宋体"/>
          <w:sz w:val="21"/>
          <w:szCs w:val="21"/>
          <w:highlight w:val="none"/>
        </w:rPr>
      </w:pPr>
      <w:r>
        <w:rPr>
          <w:rFonts w:hint="eastAsia" w:hAnsi="宋体" w:eastAsia="宋体"/>
          <w:sz w:val="21"/>
          <w:szCs w:val="21"/>
          <w:highlight w:val="none"/>
        </w:rPr>
        <w:t xml:space="preserve">（1）伴随服务及配合措施；（2）要求甲方提供的配合；（3）对招标文件有不同意见的偏离说明；（4）其它说明。</w:t>
      </w:r>
      <w:r/>
    </w:p>
    <w:p>
      <w:pPr>
        <w:pStyle w:val="1037"/>
        <w:ind w:firstLine="420"/>
        <w:spacing w:line="276" w:lineRule="auto"/>
        <w:rPr>
          <w:rFonts w:hAnsi="宋体" w:eastAsia="宋体"/>
          <w:sz w:val="21"/>
          <w:szCs w:val="21"/>
          <w:highlight w:val="none"/>
        </w:rPr>
      </w:pPr>
      <w:r>
        <w:rPr>
          <w:rFonts w:hint="eastAsia" w:hAnsi="宋体" w:eastAsia="宋体"/>
          <w:sz w:val="21"/>
          <w:szCs w:val="21"/>
          <w:highlight w:val="none"/>
        </w:rPr>
        <w:t xml:space="preserve">所有有关标书的函电，请按下列地址联系：</w:t>
      </w:r>
      <w:r/>
    </w:p>
    <w:p>
      <w:pPr>
        <w:pStyle w:val="1037"/>
        <w:ind w:firstLine="420"/>
        <w:spacing w:line="276" w:lineRule="auto"/>
        <w:rPr>
          <w:rFonts w:hAnsi="宋体" w:eastAsia="宋体"/>
          <w:sz w:val="21"/>
          <w:szCs w:val="21"/>
          <w:highlight w:val="none"/>
          <w:u w:val="single"/>
        </w:rPr>
      </w:pPr>
      <w:r>
        <w:rPr>
          <w:rFonts w:hint="eastAsia" w:hAnsi="宋体" w:eastAsia="宋体"/>
          <w:sz w:val="21"/>
          <w:szCs w:val="21"/>
          <w:highlight w:val="none"/>
        </w:rPr>
        <w:t xml:space="preserve">单    位：                    联 系 人：</w:t>
      </w:r>
      <w:r/>
    </w:p>
    <w:p>
      <w:pPr>
        <w:pStyle w:val="1037"/>
        <w:ind w:firstLine="420"/>
        <w:spacing w:line="276" w:lineRule="auto"/>
        <w:rPr>
          <w:rFonts w:hAnsi="宋体" w:eastAsia="宋体"/>
          <w:sz w:val="21"/>
          <w:szCs w:val="21"/>
          <w:highlight w:val="none"/>
          <w:u w:val="single"/>
        </w:rPr>
      </w:pPr>
      <w:r>
        <w:rPr>
          <w:rFonts w:hint="eastAsia" w:hAnsi="宋体" w:eastAsia="宋体"/>
          <w:sz w:val="21"/>
          <w:szCs w:val="21"/>
          <w:highlight w:val="none"/>
        </w:rPr>
        <w:t xml:space="preserve">地    址：                    邮政编码：</w:t>
      </w:r>
      <w:r/>
    </w:p>
    <w:p>
      <w:pPr>
        <w:pStyle w:val="1037"/>
        <w:ind w:firstLine="420"/>
        <w:spacing w:line="276" w:lineRule="auto"/>
        <w:rPr>
          <w:rFonts w:hAnsi="宋体" w:eastAsia="宋体"/>
          <w:sz w:val="21"/>
          <w:szCs w:val="21"/>
          <w:highlight w:val="none"/>
          <w:u w:val="single"/>
        </w:rPr>
      </w:pPr>
      <w:r>
        <w:rPr>
          <w:rFonts w:hint="eastAsia" w:hAnsi="宋体" w:eastAsia="宋体"/>
          <w:sz w:val="21"/>
          <w:szCs w:val="21"/>
          <w:highlight w:val="none"/>
        </w:rPr>
        <w:t xml:space="preserve">联系电话：                    传    真：</w:t>
      </w:r>
      <w:r/>
    </w:p>
    <w:p>
      <w:pPr>
        <w:pStyle w:val="1037"/>
        <w:ind w:firstLine="420"/>
        <w:spacing w:line="276" w:lineRule="auto"/>
        <w:rPr>
          <w:rFonts w:hAnsi="宋体" w:eastAsia="宋体"/>
          <w:sz w:val="21"/>
          <w:szCs w:val="21"/>
          <w:highlight w:val="none"/>
        </w:rPr>
      </w:pPr>
      <w:r>
        <w:rPr>
          <w:rFonts w:hint="eastAsia" w:hAnsi="宋体" w:eastAsia="宋体"/>
          <w:sz w:val="21"/>
          <w:szCs w:val="21"/>
          <w:highlight w:val="none"/>
        </w:rPr>
        <w:t xml:space="preserve">投标人：（盖章）</w:t>
      </w:r>
      <w:r/>
    </w:p>
    <w:p>
      <w:pPr>
        <w:pStyle w:val="1037"/>
        <w:ind w:firstLine="420"/>
        <w:spacing w:line="276" w:lineRule="auto"/>
        <w:rPr>
          <w:rFonts w:hAnsi="宋体" w:eastAsia="宋体"/>
          <w:sz w:val="21"/>
          <w:szCs w:val="21"/>
          <w:highlight w:val="none"/>
        </w:rPr>
      </w:pPr>
      <w:r>
        <w:rPr>
          <w:rFonts w:hint="eastAsia" w:hAnsi="宋体" w:eastAsia="宋体"/>
          <w:sz w:val="21"/>
          <w:szCs w:val="21"/>
          <w:highlight w:val="none"/>
        </w:rPr>
        <w:t xml:space="preserve">单位法定代表人或代理人：（签字或盖章）         </w:t>
      </w:r>
      <w:r/>
    </w:p>
    <w:p>
      <w:pPr>
        <w:pStyle w:val="1037"/>
        <w:ind w:firstLine="420"/>
        <w:spacing w:line="276" w:lineRule="auto"/>
        <w:rPr>
          <w:rFonts w:hAnsi="宋体" w:eastAsia="宋体"/>
          <w:b/>
          <w:sz w:val="21"/>
          <w:szCs w:val="21"/>
          <w:highlight w:val="none"/>
        </w:rPr>
      </w:pPr>
      <w:r>
        <w:rPr>
          <w:rFonts w:hint="eastAsia" w:hAnsi="宋体" w:eastAsia="宋体"/>
          <w:sz w:val="21"/>
          <w:szCs w:val="21"/>
          <w:highlight w:val="none"/>
        </w:rPr>
        <w:t xml:space="preserve">日期：      年    月    日</w:t>
      </w:r>
      <w:bookmarkStart w:id="26" w:name="_Toc142194267"/>
      <w:r/>
      <w:bookmarkStart w:id="27" w:name="_Toc492394291"/>
      <w:r/>
      <w:r/>
    </w:p>
    <w:p>
      <w:pPr>
        <w:rPr>
          <w:rFonts w:ascii="宋体" w:hAnsi="宋体" w:eastAsia="宋体"/>
          <w:b/>
          <w:sz w:val="21"/>
          <w:szCs w:val="21"/>
          <w:highlight w:val="none"/>
        </w:rPr>
      </w:pPr>
      <w:r>
        <w:rPr>
          <w:rFonts w:ascii="宋体" w:hAnsi="宋体" w:eastAsia="宋体"/>
          <w:b/>
          <w:sz w:val="21"/>
          <w:szCs w:val="21"/>
          <w:highlight w:val="none"/>
        </w:rPr>
        <w:br w:type="page" w:clear="all"/>
      </w:r>
      <w:r/>
    </w:p>
    <w:p>
      <w:pPr>
        <w:pStyle w:val="939"/>
        <w:jc w:val="left"/>
        <w:spacing w:line="360" w:lineRule="auto"/>
        <w:rPr>
          <w:rFonts w:hAnsi="宋体" w:eastAsia="宋体"/>
          <w:b/>
          <w:sz w:val="21"/>
          <w:szCs w:val="21"/>
          <w:highlight w:val="none"/>
        </w:rPr>
      </w:pPr>
      <w:r>
        <w:rPr>
          <w:rFonts w:hint="eastAsia" w:hAnsi="宋体" w:eastAsia="宋体"/>
          <w:b/>
          <w:sz w:val="21"/>
          <w:szCs w:val="21"/>
          <w:highlight w:val="none"/>
        </w:rPr>
        <w:t xml:space="preserve">二、</w:t>
      </w:r>
      <w:bookmarkEnd w:id="26"/>
      <w:r>
        <w:rPr>
          <w:rFonts w:hint="eastAsia" w:hAnsi="宋体" w:eastAsia="宋体"/>
          <w:b/>
          <w:sz w:val="21"/>
          <w:szCs w:val="21"/>
          <w:highlight w:val="none"/>
        </w:rPr>
        <w:t xml:space="preserve">（投标人）法定代表人授权委托书</w:t>
      </w:r>
      <w:bookmarkEnd w:id="27"/>
      <w:r/>
      <w:r/>
    </w:p>
    <w:p>
      <w:pPr>
        <w:pStyle w:val="705"/>
        <w:ind w:firstLine="0"/>
        <w:jc w:val="center"/>
        <w:spacing w:line="360" w:lineRule="auto"/>
        <w:rPr>
          <w:rFonts w:ascii="宋体" w:hAnsi="宋体" w:eastAsia="宋体"/>
          <w:sz w:val="21"/>
          <w:szCs w:val="21"/>
          <w:highlight w:val="none"/>
        </w:rPr>
      </w:pPr>
      <w:r>
        <w:rPr>
          <w:rFonts w:ascii="宋体" w:hAnsi="宋体" w:eastAsia="宋体"/>
          <w:sz w:val="21"/>
          <w:szCs w:val="21"/>
          <w:highlight w:val="none"/>
        </w:rPr>
      </w:r>
      <w:r/>
    </w:p>
    <w:p>
      <w:pPr>
        <w:pStyle w:val="705"/>
        <w:ind w:firstLine="0"/>
        <w:jc w:val="center"/>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法定代表人授权委托书</w:t>
      </w:r>
      <w:r/>
    </w:p>
    <w:p>
      <w:pPr>
        <w:pStyle w:val="705"/>
        <w:ind w:firstLine="0"/>
        <w:jc w:val="center"/>
        <w:spacing w:line="360" w:lineRule="auto"/>
        <w:rPr>
          <w:rFonts w:ascii="宋体" w:hAnsi="宋体" w:eastAsia="宋体"/>
          <w:sz w:val="21"/>
          <w:szCs w:val="21"/>
          <w:highlight w:val="none"/>
        </w:rPr>
      </w:pPr>
      <w:r>
        <w:rPr>
          <w:rFonts w:ascii="宋体" w:hAnsi="宋体" w:eastAsia="宋体"/>
          <w:sz w:val="21"/>
          <w:szCs w:val="21"/>
          <w:highlight w:val="none"/>
        </w:rPr>
      </w:r>
      <w:r/>
    </w:p>
    <w:p>
      <w:pPr>
        <w:pStyle w:val="705"/>
        <w:jc w:val="both"/>
        <w:spacing w:line="276" w:lineRule="auto"/>
        <w:rPr>
          <w:rFonts w:ascii="宋体" w:hAnsi="宋体" w:eastAsia="宋体"/>
          <w:sz w:val="21"/>
          <w:szCs w:val="21"/>
          <w:highlight w:val="none"/>
        </w:rPr>
      </w:pPr>
      <w:r>
        <w:rPr>
          <w:rFonts w:hint="eastAsia" w:ascii="宋体" w:hAnsi="宋体" w:eastAsia="宋体"/>
          <w:sz w:val="21"/>
          <w:szCs w:val="21"/>
          <w:highlight w:val="none"/>
        </w:rPr>
        <w:t xml:space="preserve">本授权委托书声明：我（姓名）系（投标人名称）的法定代表人，现授权委托（单位名称）的（姓名）为我公司代理人，以本公司的名义参加</w:t>
      </w:r>
      <w:r>
        <w:rPr>
          <w:rFonts w:hint="eastAsia" w:ascii="宋体" w:hAnsi="宋体" w:eastAsia="宋体"/>
          <w:sz w:val="21"/>
          <w:szCs w:val="21"/>
          <w:highlight w:val="none"/>
          <w:lang w:eastAsia="zh-CN"/>
        </w:rPr>
        <w:t xml:space="preserve">苏州嘉泓瑞项目管理咨询有限公司</w:t>
      </w:r>
      <w:r>
        <w:rPr>
          <w:rFonts w:hint="eastAsia" w:ascii="宋体" w:hAnsi="宋体" w:eastAsia="宋体"/>
          <w:sz w:val="21"/>
          <w:szCs w:val="21"/>
          <w:highlight w:val="none"/>
        </w:rPr>
        <w:t xml:space="preserve">组织实施的编号为</w:t>
      </w:r>
      <w:r>
        <w:rPr>
          <w:rFonts w:ascii="宋体" w:hAnsi="宋体" w:eastAsia="宋体"/>
          <w:b/>
          <w:sz w:val="21"/>
          <w:szCs w:val="21"/>
          <w:highlight w:val="none"/>
          <w:u w:val="single"/>
        </w:rPr>
        <w:t xml:space="preserve">     </w:t>
      </w:r>
      <w:r>
        <w:rPr>
          <w:rFonts w:hint="eastAsia" w:ascii="宋体" w:hAnsi="宋体" w:eastAsia="宋体"/>
          <w:sz w:val="21"/>
          <w:szCs w:val="21"/>
          <w:highlight w:val="none"/>
        </w:rPr>
        <w:t xml:space="preserve">号的招标活动。代理人在开标、评标、合同谈判过程中所签署的一切文件和处理与这有关的一切事务，我均予以承认。</w:t>
      </w:r>
      <w:r/>
    </w:p>
    <w:p>
      <w:pPr>
        <w:pStyle w:val="705"/>
        <w:jc w:val="both"/>
        <w:spacing w:line="276" w:lineRule="auto"/>
        <w:rPr>
          <w:rFonts w:ascii="宋体" w:hAnsi="宋体" w:eastAsia="宋体"/>
          <w:sz w:val="21"/>
          <w:szCs w:val="21"/>
          <w:highlight w:val="none"/>
        </w:rPr>
      </w:pPr>
      <w:r>
        <w:rPr>
          <w:rFonts w:hint="eastAsia" w:ascii="宋体" w:hAnsi="宋体" w:eastAsia="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pStyle w:val="705"/>
        <w:jc w:val="both"/>
        <w:spacing w:line="276" w:lineRule="auto"/>
        <w:rPr>
          <w:rFonts w:ascii="宋体" w:hAnsi="宋体" w:eastAsia="宋体"/>
          <w:sz w:val="21"/>
          <w:szCs w:val="21"/>
          <w:highlight w:val="none"/>
        </w:rPr>
      </w:pPr>
      <w:r>
        <w:rPr>
          <w:rFonts w:hint="eastAsia" w:ascii="宋体" w:hAnsi="宋体" w:eastAsia="宋体"/>
          <w:sz w:val="21"/>
          <w:szCs w:val="21"/>
          <w:highlight w:val="none"/>
        </w:rPr>
        <w:t xml:space="preserve">代理人无转委托权。特此委托。</w:t>
      </w:r>
      <w:r/>
    </w:p>
    <w:p>
      <w:pPr>
        <w:pStyle w:val="705"/>
        <w:jc w:val="both"/>
        <w:spacing w:line="360" w:lineRule="auto"/>
        <w:rPr>
          <w:rFonts w:ascii="宋体" w:hAnsi="宋体" w:eastAsia="宋体"/>
          <w:sz w:val="21"/>
          <w:szCs w:val="21"/>
          <w:highlight w:val="none"/>
        </w:rPr>
      </w:pPr>
      <w:r>
        <w:rPr>
          <w:rFonts w:ascii="宋体" w:hAnsi="宋体" w:eastAsia="宋体"/>
          <w:sz w:val="21"/>
          <w:szCs w:val="21"/>
          <w:highlight w:val="none"/>
        </w:rPr>
      </w:r>
      <w:r/>
    </w:p>
    <w:p>
      <w:pPr>
        <w:pStyle w:val="705"/>
        <w:jc w:val="both"/>
        <w:spacing w:line="360" w:lineRule="auto"/>
        <w:rPr>
          <w:rFonts w:ascii="宋体" w:hAnsi="宋体" w:eastAsia="宋体"/>
          <w:sz w:val="21"/>
          <w:szCs w:val="21"/>
          <w:highlight w:val="none"/>
        </w:rPr>
      </w:pPr>
      <w:r>
        <w:rPr>
          <w:rFonts w:ascii="宋体" w:hAnsi="宋体" w:eastAsia="宋体"/>
          <w:sz w:val="21"/>
          <w:szCs w:val="21"/>
          <w:highlight w:val="none"/>
        </w:rPr>
      </w:r>
      <w:r/>
    </w:p>
    <w:p>
      <w:pPr>
        <w:pStyle w:val="705"/>
        <w:jc w:val="both"/>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投标人：（盖章）</w:t>
      </w:r>
      <w:r/>
    </w:p>
    <w:p>
      <w:pPr>
        <w:pStyle w:val="705"/>
        <w:jc w:val="both"/>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法定代表人：（签字或盖章）</w:t>
      </w:r>
      <w:r/>
    </w:p>
    <w:p>
      <w:pPr>
        <w:pStyle w:val="705"/>
        <w:jc w:val="both"/>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日期：      年    月    日</w:t>
      </w:r>
      <w:bookmarkStart w:id="28" w:name="_Toc142194268"/>
      <w:r/>
      <w:r/>
    </w:p>
    <w:p>
      <w:pPr>
        <w:pStyle w:val="939"/>
        <w:jc w:val="left"/>
        <w:spacing w:line="360" w:lineRule="auto"/>
        <w:rPr>
          <w:rFonts w:hAnsi="宋体" w:eastAsia="宋体"/>
          <w:b/>
          <w:sz w:val="21"/>
          <w:szCs w:val="21"/>
          <w:highlight w:val="none"/>
        </w:rPr>
      </w:pPr>
      <w:r>
        <w:rPr>
          <w:rFonts w:hint="eastAsia" w:hAnsi="宋体" w:eastAsia="宋体"/>
          <w:b/>
          <w:sz w:val="21"/>
          <w:szCs w:val="21"/>
          <w:highlight w:val="none"/>
        </w:rPr>
        <w:br w:type="page" w:clear="all"/>
      </w:r>
      <w:bookmarkStart w:id="29" w:name="_Toc492394292"/>
      <w:r>
        <w:rPr>
          <w:rFonts w:hint="eastAsia" w:hAnsi="宋体" w:eastAsia="宋体"/>
          <w:b/>
          <w:sz w:val="21"/>
          <w:szCs w:val="21"/>
          <w:highlight w:val="none"/>
        </w:rPr>
        <w:t xml:space="preserve">三、</w:t>
      </w:r>
      <w:bookmarkEnd w:id="28"/>
      <w:r/>
      <w:bookmarkEnd w:id="29"/>
      <w:r>
        <w:rPr>
          <w:rFonts w:hint="eastAsia" w:hAnsi="宋体" w:eastAsia="宋体"/>
          <w:b/>
          <w:sz w:val="21"/>
          <w:szCs w:val="21"/>
          <w:highlight w:val="none"/>
        </w:rPr>
        <w:t xml:space="preserve">开标一览表、投标报价明细表</w:t>
      </w:r>
      <w:r/>
    </w:p>
    <w:p>
      <w:pPr>
        <w:jc w:val="center"/>
        <w:rPr>
          <w:rFonts w:ascii="宋体" w:hAnsi="宋体" w:eastAsia="宋体"/>
          <w:b/>
          <w:sz w:val="30"/>
          <w:szCs w:val="30"/>
          <w:highlight w:val="none"/>
        </w:rPr>
      </w:pPr>
      <w:r/>
      <w:bookmarkStart w:id="30" w:name="_Toc142194270"/>
      <w:r>
        <w:rPr>
          <w:rFonts w:hint="eastAsia" w:ascii="宋体" w:hAnsi="宋体" w:eastAsia="宋体" w:cs="宋体"/>
          <w:b/>
          <w:sz w:val="30"/>
          <w:szCs w:val="30"/>
          <w:highlight w:val="none"/>
          <w:lang w:val="zh-CN"/>
        </w:rPr>
        <w:t xml:space="preserve">开标一览表</w:t>
      </w:r>
      <w:r/>
    </w:p>
    <w:p>
      <w:pPr>
        <w:ind w:firstLine="359"/>
        <w:rPr>
          <w:rFonts w:ascii="宋体" w:hAnsi="宋体" w:eastAsia="宋体" w:cs="宋体"/>
          <w:sz w:val="21"/>
          <w:szCs w:val="21"/>
          <w:highlight w:val="none"/>
          <w:lang w:val="zh-CN"/>
        </w:rPr>
      </w:pPr>
      <w:r>
        <w:rPr>
          <w:rFonts w:ascii="宋体" w:hAnsi="宋体" w:eastAsia="宋体" w:cs="宋体"/>
          <w:sz w:val="21"/>
          <w:szCs w:val="21"/>
          <w:highlight w:val="none"/>
          <w:lang w:val="zh-CN"/>
        </w:rPr>
      </w:r>
      <w:r/>
    </w:p>
    <w:p>
      <w:pPr>
        <w:pStyle w:val="939"/>
        <w:ind w:firstLine="420"/>
        <w:spacing w:line="480" w:lineRule="auto"/>
        <w:rPr>
          <w:rFonts w:hAnsi="宋体" w:eastAsia="宋体" w:cs="宋体"/>
          <w:sz w:val="21"/>
          <w:szCs w:val="21"/>
          <w:highlight w:val="none"/>
          <w:u w:val="single"/>
        </w:rPr>
      </w:pPr>
      <w:r>
        <w:rPr>
          <w:rFonts w:hint="eastAsia" w:hAnsi="宋体" w:eastAsia="宋体" w:cs="宋体"/>
          <w:sz w:val="21"/>
          <w:szCs w:val="21"/>
          <w:highlight w:val="none"/>
        </w:rPr>
        <w:t xml:space="preserve">招标编号：</w:t>
      </w:r>
      <w:r>
        <w:rPr>
          <w:rFonts w:hint="eastAsia" w:hAnsi="宋体" w:eastAsia="宋体"/>
          <w:sz w:val="21"/>
          <w:szCs w:val="21"/>
          <w:highlight w:val="none"/>
        </w:rPr>
        <w:t xml:space="preserve"> </w:t>
      </w:r>
      <w:r/>
    </w:p>
    <w:tbl>
      <w:tblPr>
        <w:tblStyle w:val="701"/>
        <w:tblW w:w="0" w:type="dxa"/>
        <w:jc w:val="center"/>
        <w:tblLayout w:type="fixed"/>
        <w:tblCellMar>
          <w:left w:w="108" w:type="dxa"/>
          <w:top w:w="0" w:type="dxa"/>
          <w:right w:w="108" w:type="dxa"/>
          <w:bottom w:w="0" w:type="dxa"/>
        </w:tblCellMar>
        <w:tblLook w:val="04A0" w:firstRow="1" w:lastRow="0" w:firstColumn="1" w:lastColumn="0" w:noHBand="0" w:noVBand="1"/>
      </w:tblPr>
      <w:tblGrid>
        <w:gridCol w:w="819"/>
        <w:gridCol w:w="1354"/>
        <w:gridCol w:w="1386"/>
        <w:gridCol w:w="3124"/>
        <w:gridCol w:w="2537"/>
      </w:tblGrid>
      <w:tr>
        <w:trPr>
          <w:jc w:val="center"/>
          <w:trHeight w:val="96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360" w:lineRule="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序号</w:t>
            </w:r>
            <w:r/>
          </w:p>
        </w:tc>
        <w:tc>
          <w:tcPr>
            <w:gridSpan w:val="2"/>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center"/>
              <w:spacing w:line="360" w:lineRule="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3124" w:type="dxa"/>
            <w:vAlign w:val="center"/>
            <w:textDirection w:val="lrTb"/>
            <w:noWrap w:val="false"/>
          </w:tcPr>
          <w:p>
            <w:pPr>
              <w:jc w:val="center"/>
              <w:spacing w:line="360" w:lineRule="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投标总报价</w:t>
            </w:r>
            <w:r/>
          </w:p>
        </w:tc>
        <w:tc>
          <w:tcPr>
            <w:tcBorders>
              <w:top w:val="single" w:color="000000" w:sz="4" w:space="0"/>
              <w:left w:val="none" w:color="000000" w:sz="4" w:space="0"/>
              <w:bottom w:val="single" w:color="000000" w:sz="4" w:space="0"/>
              <w:right w:val="single" w:color="000000" w:sz="4" w:space="0"/>
            </w:tcBorders>
            <w:tcW w:w="2537" w:type="dxa"/>
            <w:vAlign w:val="center"/>
            <w:textDirection w:val="lrTb"/>
            <w:noWrap w:val="false"/>
          </w:tcPr>
          <w:p>
            <w:pPr>
              <w:jc w:val="center"/>
              <w:spacing w:line="360" w:lineRule="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供货期限</w:t>
            </w:r>
            <w:r/>
          </w:p>
        </w:tc>
      </w:tr>
      <w:tr>
        <w:trPr>
          <w:jc w:val="center"/>
          <w:trHeight w:val="977"/>
        </w:trPr>
        <w:tc>
          <w:tcPr>
            <w:tcBorders>
              <w:top w:val="non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360" w:lineRule="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1</w:t>
            </w:r>
            <w:r/>
          </w:p>
        </w:tc>
        <w:tc>
          <w:tcPr>
            <w:gridSpan w:val="2"/>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center"/>
              <w:spacing w:line="360" w:lineRule="auto"/>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none" w:color="000000" w:sz="4" w:space="0"/>
              <w:left w:val="none" w:color="000000" w:sz="4" w:space="0"/>
              <w:bottom w:val="single" w:color="000000" w:sz="4" w:space="0"/>
              <w:right w:val="single" w:color="000000" w:sz="4" w:space="0"/>
            </w:tcBorders>
            <w:tcW w:w="3124" w:type="dxa"/>
            <w:vAlign w:val="center"/>
            <w:textDirection w:val="lrTb"/>
            <w:noWrap w:val="false"/>
          </w:tcPr>
          <w:p>
            <w:pPr>
              <w:jc w:val="center"/>
              <w:spacing w:line="360" w:lineRule="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人民币大写：                              （小写：        ）</w:t>
            </w:r>
            <w:r/>
          </w:p>
        </w:tc>
        <w:tc>
          <w:tcPr>
            <w:tcBorders>
              <w:top w:val="none" w:color="000000" w:sz="4" w:space="0"/>
              <w:left w:val="none" w:color="000000" w:sz="4" w:space="0"/>
              <w:bottom w:val="single" w:color="000000" w:sz="4" w:space="0"/>
              <w:right w:val="single" w:color="000000" w:sz="4" w:space="0"/>
            </w:tcBorders>
            <w:tcW w:w="2537" w:type="dxa"/>
            <w:vAlign w:val="center"/>
            <w:textDirection w:val="lrTb"/>
            <w:noWrap w:val="false"/>
          </w:tcPr>
          <w:p>
            <w:pPr>
              <w:jc w:val="center"/>
              <w:spacing w:line="360" w:lineRule="auto"/>
              <w:rPr>
                <w:rFonts w:ascii="宋体" w:hAnsi="宋体" w:eastAsia="宋体" w:cs="宋体"/>
                <w:bCs/>
                <w:sz w:val="21"/>
                <w:szCs w:val="21"/>
                <w:highlight w:val="none"/>
              </w:rPr>
            </w:pPr>
            <w:r>
              <w:rPr>
                <w:rFonts w:ascii="宋体" w:hAnsi="宋体" w:eastAsia="宋体" w:cs="宋体"/>
                <w:bCs/>
                <w:sz w:val="21"/>
                <w:szCs w:val="21"/>
                <w:highlight w:val="none"/>
              </w:rPr>
            </w:r>
            <w:r/>
          </w:p>
        </w:tc>
      </w:tr>
      <w:tr>
        <w:trPr>
          <w:jc w:val="center"/>
          <w:trHeight w:val="1205"/>
        </w:trPr>
        <w:tc>
          <w:tcPr>
            <w:gridSpan w:val="2"/>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企业类型</w:t>
            </w:r>
            <w:r/>
          </w:p>
        </w:tc>
        <w:tc>
          <w:tcPr>
            <w:gridSpan w:val="3"/>
            <w:tcBorders>
              <w:top w:val="single" w:color="000000" w:sz="4" w:space="0"/>
              <w:left w:val="none" w:color="000000" w:sz="4" w:space="0"/>
              <w:bottom w:val="single" w:color="000000" w:sz="4" w:space="0"/>
              <w:right w:val="single" w:color="000000" w:sz="4" w:space="0"/>
            </w:tcBorders>
            <w:tcW w:w="7047" w:type="dxa"/>
            <w:vAlign w:val="center"/>
            <w:textDirection w:val="lrTb"/>
            <w:noWrap w:val="false"/>
          </w:tcPr>
          <w:p>
            <w:pPr>
              <w:ind w:firstLine="210"/>
              <w:jc w:val="left"/>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微型企业□                小型企业□    </w:t>
            </w:r>
            <w:r/>
          </w:p>
          <w:p>
            <w:pPr>
              <w:ind w:firstLine="210"/>
              <w:jc w:val="left"/>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残疾人福利性单位□        监狱企业□  </w:t>
            </w:r>
            <w:r/>
          </w:p>
        </w:tc>
      </w:tr>
    </w:tbl>
    <w:p>
      <w:pPr>
        <w:ind w:firstLine="359"/>
        <w:rPr>
          <w:rFonts w:ascii="宋体" w:hAnsi="宋体" w:eastAsia="宋体"/>
          <w:sz w:val="21"/>
          <w:szCs w:val="21"/>
          <w:highlight w:val="none"/>
        </w:rPr>
      </w:pPr>
      <w:r>
        <w:rPr>
          <w:rFonts w:ascii="宋体" w:hAnsi="宋体" w:eastAsia="宋体"/>
          <w:sz w:val="21"/>
          <w:szCs w:val="21"/>
          <w:highlight w:val="none"/>
        </w:rPr>
      </w:r>
      <w:r/>
    </w:p>
    <w:p>
      <w:pPr>
        <w:ind w:firstLine="359"/>
        <w:rPr>
          <w:rFonts w:ascii="宋体" w:hAnsi="宋体" w:eastAsia="宋体"/>
          <w:sz w:val="21"/>
          <w:szCs w:val="21"/>
          <w:highlight w:val="none"/>
        </w:rPr>
      </w:pPr>
      <w:r>
        <w:rPr>
          <w:rFonts w:ascii="宋体" w:hAnsi="宋体" w:eastAsia="宋体"/>
          <w:sz w:val="21"/>
          <w:szCs w:val="21"/>
          <w:highlight w:val="none"/>
        </w:rPr>
      </w:r>
      <w:r/>
    </w:p>
    <w:p>
      <w:pPr>
        <w:pStyle w:val="705"/>
        <w:jc w:val="both"/>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投标人：（盖章）</w:t>
      </w:r>
      <w:r/>
    </w:p>
    <w:p>
      <w:pPr>
        <w:pStyle w:val="705"/>
        <w:jc w:val="both"/>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法定代表人或其授权委托人：（签字或盖章）                   </w:t>
      </w:r>
      <w:r/>
    </w:p>
    <w:p>
      <w:pPr>
        <w:pStyle w:val="705"/>
        <w:jc w:val="both"/>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日期：年  月  日</w:t>
      </w:r>
      <w:r/>
    </w:p>
    <w:p>
      <w:pPr>
        <w:pStyle w:val="705"/>
        <w:ind w:firstLine="422"/>
        <w:jc w:val="both"/>
        <w:spacing w:line="360" w:lineRule="auto"/>
        <w:rPr>
          <w:rFonts w:ascii="宋体" w:hAnsi="宋体" w:eastAsia="宋体"/>
          <w:b/>
          <w:sz w:val="21"/>
          <w:szCs w:val="21"/>
          <w:highlight w:val="none"/>
        </w:rPr>
      </w:pPr>
      <w:r>
        <w:rPr>
          <w:rFonts w:ascii="宋体" w:hAnsi="宋体" w:eastAsia="宋体"/>
          <w:b/>
          <w:sz w:val="21"/>
          <w:szCs w:val="21"/>
          <w:highlight w:val="none"/>
        </w:rPr>
      </w:r>
      <w:r/>
    </w:p>
    <w:p>
      <w:pPr>
        <w:jc w:val="center"/>
        <w:spacing w:line="400" w:lineRule="exact"/>
        <w:rPr>
          <w:rFonts w:ascii="宋体" w:hAnsi="宋体" w:eastAsia="宋体" w:cs="宋体"/>
          <w:b/>
          <w:bCs/>
          <w:sz w:val="21"/>
          <w:szCs w:val="21"/>
          <w:highlight w:val="none"/>
        </w:rPr>
      </w:pPr>
      <w:r>
        <w:rPr>
          <w:rFonts w:hint="eastAsia" w:ascii="宋体" w:hAnsi="宋体" w:eastAsia="宋体" w:cs="宋体"/>
          <w:b/>
          <w:bCs/>
          <w:szCs w:val="21"/>
          <w:highlight w:val="none"/>
        </w:rPr>
        <w:t xml:space="preserve">投标报价明细表</w:t>
      </w:r>
      <w:r/>
    </w:p>
    <w:p>
      <w:pPr>
        <w:pStyle w:val="709"/>
        <w:ind w:left="560"/>
        <w:rPr>
          <w:rFonts w:ascii="宋体" w:hAnsi="宋体" w:eastAsia="宋体" w:cs="宋体"/>
          <w:sz w:val="21"/>
          <w:szCs w:val="21"/>
          <w:highlight w:val="none"/>
        </w:rPr>
      </w:pPr>
      <w:r>
        <w:rPr>
          <w:rFonts w:hint="eastAsia" w:ascii="宋体" w:hAnsi="宋体" w:eastAsia="宋体" w:cs="宋体"/>
          <w:sz w:val="21"/>
          <w:szCs w:val="21"/>
          <w:highlight w:val="none"/>
        </w:rPr>
        <w:t xml:space="preserve">项目名称： </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 xml:space="preserve">项目编号：                                                    </w:t>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398"/>
        <w:gridCol w:w="1154"/>
        <w:gridCol w:w="1275"/>
        <w:gridCol w:w="1276"/>
        <w:gridCol w:w="1163"/>
        <w:gridCol w:w="1276"/>
        <w:gridCol w:w="1867"/>
      </w:tblGrid>
      <w:tr>
        <w:trPr>
          <w:jc w:val="center"/>
          <w:trHeight w:val="441"/>
        </w:trPr>
        <w:tc>
          <w:tcPr>
            <w:tcW w:w="735" w:type="dxa"/>
            <w:vAlign w:val="center"/>
            <w:textDirection w:val="lrTb"/>
            <w:noWrap w:val="false"/>
          </w:tcPr>
          <w:p>
            <w:pPr>
              <w:pStyle w:val="713"/>
              <w:jc w:val="center"/>
              <w:spacing w:before="190" w:line="360" w:lineRule="auto"/>
              <w:rPr>
                <w:rFonts w:hAnsi="宋体" w:eastAsia="宋体" w:cs="宋体"/>
                <w:sz w:val="21"/>
                <w:szCs w:val="21"/>
                <w:highlight w:val="none"/>
              </w:rPr>
            </w:pPr>
            <w:r>
              <w:rPr>
                <w:rFonts w:hint="eastAsia" w:hAnsi="宋体" w:eastAsia="宋体" w:cs="宋体"/>
                <w:sz w:val="21"/>
                <w:szCs w:val="21"/>
                <w:highlight w:val="none"/>
              </w:rPr>
              <w:t xml:space="preserve">序号</w:t>
            </w:r>
            <w:r/>
          </w:p>
        </w:tc>
        <w:tc>
          <w:tcPr>
            <w:tcW w:w="1398" w:type="dxa"/>
            <w:vAlign w:val="center"/>
            <w:textDirection w:val="lrTb"/>
            <w:noWrap w:val="false"/>
          </w:tcPr>
          <w:p>
            <w:pPr>
              <w:pStyle w:val="713"/>
              <w:jc w:val="center"/>
              <w:spacing w:line="400" w:lineRule="exact"/>
              <w:rPr>
                <w:rFonts w:hAnsi="宋体" w:eastAsia="宋体" w:cs="宋体"/>
                <w:sz w:val="21"/>
                <w:szCs w:val="21"/>
                <w:highlight w:val="none"/>
              </w:rPr>
            </w:pPr>
            <w:r>
              <w:rPr>
                <w:rFonts w:hint="eastAsia" w:hAnsi="宋体" w:eastAsia="宋体" w:cs="宋体"/>
                <w:sz w:val="21"/>
                <w:szCs w:val="21"/>
                <w:highlight w:val="none"/>
              </w:rPr>
              <w:t xml:space="preserve">设备名称</w:t>
            </w:r>
            <w:r/>
          </w:p>
        </w:tc>
        <w:tc>
          <w:tcPr>
            <w:tcW w:w="1154" w:type="dxa"/>
            <w:vAlign w:val="center"/>
            <w:textDirection w:val="lrTb"/>
            <w:noWrap w:val="false"/>
          </w:tcPr>
          <w:p>
            <w:pPr>
              <w:pStyle w:val="713"/>
              <w:jc w:val="center"/>
              <w:spacing w:before="190" w:line="360" w:lineRule="auto"/>
              <w:rPr>
                <w:rFonts w:hAnsi="宋体" w:eastAsia="宋体" w:cs="宋体"/>
                <w:sz w:val="21"/>
                <w:szCs w:val="21"/>
                <w:highlight w:val="none"/>
              </w:rPr>
            </w:pPr>
            <w:r>
              <w:rPr>
                <w:rFonts w:hint="eastAsia" w:hAnsi="宋体" w:eastAsia="宋体" w:cs="宋体"/>
                <w:sz w:val="21"/>
                <w:szCs w:val="21"/>
                <w:highlight w:val="none"/>
              </w:rPr>
              <w:t xml:space="preserve">品牌、型号、规格</w:t>
            </w:r>
            <w:r/>
          </w:p>
        </w:tc>
        <w:tc>
          <w:tcPr>
            <w:tcW w:w="1275" w:type="dxa"/>
            <w:vAlign w:val="center"/>
            <w:textDirection w:val="lrTb"/>
            <w:noWrap w:val="false"/>
          </w:tcPr>
          <w:p>
            <w:pPr>
              <w:pStyle w:val="713"/>
              <w:jc w:val="center"/>
              <w:spacing w:before="190" w:line="360" w:lineRule="auto"/>
              <w:rPr>
                <w:rFonts w:hAnsi="宋体" w:eastAsia="宋体" w:cs="宋体"/>
                <w:sz w:val="21"/>
                <w:szCs w:val="21"/>
                <w:highlight w:val="none"/>
              </w:rPr>
            </w:pPr>
            <w:r>
              <w:rPr>
                <w:rFonts w:hint="eastAsia" w:hAnsi="宋体" w:eastAsia="宋体" w:cs="宋体"/>
                <w:sz w:val="21"/>
                <w:szCs w:val="21"/>
                <w:highlight w:val="none"/>
              </w:rPr>
              <w:t xml:space="preserve">生产厂家</w:t>
            </w:r>
            <w:r/>
          </w:p>
        </w:tc>
        <w:tc>
          <w:tcPr>
            <w:tcW w:w="1276" w:type="dxa"/>
            <w:vAlign w:val="center"/>
            <w:textDirection w:val="lrTb"/>
            <w:noWrap w:val="false"/>
          </w:tcPr>
          <w:p>
            <w:pPr>
              <w:pStyle w:val="713"/>
              <w:jc w:val="center"/>
              <w:spacing w:before="190" w:line="360" w:lineRule="auto"/>
              <w:rPr>
                <w:rFonts w:hAnsi="宋体" w:eastAsia="宋体" w:cs="宋体"/>
                <w:sz w:val="21"/>
                <w:szCs w:val="21"/>
                <w:highlight w:val="none"/>
              </w:rPr>
            </w:pPr>
            <w:r>
              <w:rPr>
                <w:rFonts w:hint="eastAsia" w:hAnsi="宋体" w:eastAsia="宋体" w:cs="宋体"/>
                <w:sz w:val="21"/>
                <w:szCs w:val="21"/>
                <w:highlight w:val="none"/>
              </w:rPr>
              <w:t xml:space="preserve">数量/单位</w:t>
            </w:r>
            <w:r/>
          </w:p>
        </w:tc>
        <w:tc>
          <w:tcPr>
            <w:tcW w:w="1163" w:type="dxa"/>
            <w:vAlign w:val="center"/>
            <w:textDirection w:val="lrTb"/>
            <w:noWrap w:val="false"/>
          </w:tcPr>
          <w:p>
            <w:pPr>
              <w:pStyle w:val="713"/>
              <w:jc w:val="center"/>
              <w:spacing w:before="190" w:line="360" w:lineRule="auto"/>
              <w:rPr>
                <w:rFonts w:hAnsi="宋体" w:eastAsia="宋体" w:cs="宋体"/>
                <w:sz w:val="21"/>
                <w:szCs w:val="21"/>
                <w:highlight w:val="none"/>
              </w:rPr>
            </w:pPr>
            <w:r>
              <w:rPr>
                <w:rFonts w:hint="eastAsia" w:hAnsi="宋体" w:eastAsia="宋体" w:cs="宋体"/>
                <w:sz w:val="21"/>
                <w:szCs w:val="21"/>
                <w:highlight w:val="none"/>
              </w:rPr>
              <w:t xml:space="preserve">单价（元）</w:t>
            </w:r>
            <w:r/>
          </w:p>
        </w:tc>
        <w:tc>
          <w:tcPr>
            <w:tcW w:w="1276" w:type="dxa"/>
            <w:vAlign w:val="center"/>
            <w:textDirection w:val="lrTb"/>
            <w:noWrap w:val="false"/>
          </w:tcPr>
          <w:p>
            <w:pPr>
              <w:pStyle w:val="713"/>
              <w:jc w:val="center"/>
              <w:spacing w:before="190" w:line="360" w:lineRule="auto"/>
              <w:rPr>
                <w:rFonts w:hAnsi="宋体" w:eastAsia="宋体" w:cs="宋体"/>
                <w:sz w:val="21"/>
                <w:szCs w:val="21"/>
                <w:highlight w:val="none"/>
              </w:rPr>
            </w:pPr>
            <w:r>
              <w:rPr>
                <w:rFonts w:hint="eastAsia" w:hAnsi="宋体" w:eastAsia="宋体" w:cs="宋体"/>
                <w:sz w:val="21"/>
                <w:szCs w:val="21"/>
                <w:highlight w:val="none"/>
              </w:rPr>
              <w:t xml:space="preserve">总价（元）</w:t>
            </w:r>
            <w:r/>
          </w:p>
        </w:tc>
        <w:tc>
          <w:tcPr>
            <w:tcW w:w="1867" w:type="dxa"/>
            <w:vAlign w:val="center"/>
            <w:textDirection w:val="lrTb"/>
            <w:noWrap w:val="false"/>
          </w:tcPr>
          <w:p>
            <w:pPr>
              <w:pStyle w:val="713"/>
              <w:jc w:val="center"/>
              <w:spacing w:line="400" w:lineRule="exact"/>
              <w:rPr>
                <w:rFonts w:hAnsi="宋体" w:eastAsia="宋体" w:cs="宋体"/>
                <w:sz w:val="21"/>
                <w:szCs w:val="21"/>
                <w:highlight w:val="none"/>
              </w:rPr>
            </w:pPr>
            <w:r>
              <w:rPr>
                <w:rFonts w:hint="eastAsia" w:hAnsi="宋体" w:eastAsia="宋体" w:cs="宋体"/>
                <w:sz w:val="21"/>
                <w:szCs w:val="21"/>
                <w:highlight w:val="none"/>
              </w:rPr>
              <w:t xml:space="preserve">是否属于小微型、监狱、残疾人企业的产品</w:t>
            </w:r>
            <w:r/>
          </w:p>
        </w:tc>
      </w:tr>
      <w:tr>
        <w:trPr>
          <w:jc w:val="center"/>
        </w:trPr>
        <w:tc>
          <w:tcPr>
            <w:tcW w:w="735" w:type="dxa"/>
            <w:vAlign w:val="center"/>
            <w:textDirection w:val="lrTb"/>
            <w:noWrap w:val="false"/>
          </w:tcPr>
          <w:p>
            <w:pPr>
              <w:jc w:val="center"/>
              <w:spacing w:line="360" w:lineRule="auto"/>
              <w:rPr>
                <w:rFonts w:ascii="宋体" w:hAnsi="宋体" w:eastAsia="宋体" w:cs="宋体"/>
                <w:sz w:val="21"/>
                <w:szCs w:val="21"/>
                <w:highlight w:val="none"/>
              </w:rPr>
            </w:pPr>
            <w:r>
              <w:rPr>
                <w:rFonts w:hint="eastAsia" w:ascii="宋体" w:hAnsi="宋体" w:eastAsia="宋体" w:cs="宋体"/>
                <w:szCs w:val="21"/>
                <w:highlight w:val="none"/>
              </w:rPr>
              <w:t xml:space="preserve">1</w:t>
            </w:r>
            <w:r/>
          </w:p>
        </w:tc>
        <w:tc>
          <w:tcPr>
            <w:tcW w:w="1398"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154"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275"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276"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163"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276"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867"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r>
      <w:tr>
        <w:trPr>
          <w:jc w:val="center"/>
        </w:trPr>
        <w:tc>
          <w:tcPr>
            <w:tcW w:w="735" w:type="dxa"/>
            <w:vAlign w:val="center"/>
            <w:textDirection w:val="lrTb"/>
            <w:noWrap w:val="false"/>
          </w:tcPr>
          <w:p>
            <w:pPr>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398"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154"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275"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276"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163"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276"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867"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r>
      <w:tr>
        <w:trPr>
          <w:jc w:val="center"/>
        </w:trPr>
        <w:tc>
          <w:tcPr>
            <w:tcW w:w="735" w:type="dxa"/>
            <w:vAlign w:val="center"/>
            <w:textDirection w:val="lrTb"/>
            <w:noWrap w:val="false"/>
          </w:tcPr>
          <w:p>
            <w:pPr>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398"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154"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275"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276"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163"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276"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867"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r>
      <w:tr>
        <w:trPr>
          <w:jc w:val="center"/>
        </w:trPr>
        <w:tc>
          <w:tcPr>
            <w:tcW w:w="735" w:type="dxa"/>
            <w:vAlign w:val="center"/>
            <w:textDirection w:val="lrTb"/>
            <w:noWrap w:val="false"/>
          </w:tcPr>
          <w:p>
            <w:pPr>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398"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154"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275"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276"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163"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276"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867"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r>
      <w:tr>
        <w:trPr>
          <w:jc w:val="center"/>
        </w:trPr>
        <w:tc>
          <w:tcPr>
            <w:tcW w:w="735" w:type="dxa"/>
            <w:vAlign w:val="center"/>
            <w:textDirection w:val="lrTb"/>
            <w:noWrap w:val="false"/>
          </w:tcPr>
          <w:p>
            <w:pPr>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398"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154"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275"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276"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163"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276"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c>
          <w:tcPr>
            <w:tcW w:w="1867" w:type="dxa"/>
            <w:vAlign w:val="center"/>
            <w:textDirection w:val="lrTb"/>
            <w:noWrap w:val="false"/>
          </w:tcPr>
          <w:p>
            <w:pPr>
              <w:pStyle w:val="713"/>
              <w:jc w:val="center"/>
              <w:spacing w:line="360" w:lineRule="auto"/>
              <w:rPr>
                <w:rFonts w:hAnsi="宋体" w:eastAsia="宋体" w:cs="宋体"/>
                <w:sz w:val="21"/>
                <w:szCs w:val="21"/>
                <w:highlight w:val="none"/>
              </w:rPr>
            </w:pPr>
            <w:r>
              <w:rPr>
                <w:rFonts w:hAnsi="宋体" w:eastAsia="宋体" w:cs="宋体"/>
                <w:sz w:val="21"/>
                <w:szCs w:val="21"/>
                <w:highlight w:val="none"/>
              </w:rPr>
            </w:r>
            <w:r/>
          </w:p>
        </w:tc>
      </w:tr>
      <w:tr>
        <w:trPr>
          <w:jc w:val="center"/>
        </w:trPr>
        <w:tc>
          <w:tcPr>
            <w:gridSpan w:val="8"/>
            <w:tcW w:w="10144" w:type="dxa"/>
            <w:vAlign w:val="center"/>
            <w:textDirection w:val="lrTb"/>
            <w:noWrap w:val="false"/>
          </w:tcPr>
          <w:p>
            <w:pPr>
              <w:pStyle w:val="713"/>
              <w:spacing w:line="360" w:lineRule="auto"/>
              <w:rPr>
                <w:rFonts w:hAnsi="宋体" w:eastAsia="宋体" w:cs="宋体"/>
                <w:sz w:val="21"/>
                <w:szCs w:val="21"/>
                <w:highlight w:val="none"/>
                <w:u w:val="single"/>
              </w:rPr>
            </w:pPr>
            <w:r>
              <w:rPr>
                <w:rFonts w:hint="eastAsia" w:hAnsi="宋体" w:eastAsia="宋体" w:cs="宋体"/>
                <w:sz w:val="21"/>
                <w:szCs w:val="21"/>
                <w:highlight w:val="none"/>
              </w:rPr>
              <w:t xml:space="preserve">投标总报价：人民币（大写）</w:t>
            </w:r>
            <w:r>
              <w:rPr>
                <w:rFonts w:hint="eastAsia" w:hAnsi="宋体" w:eastAsia="宋体" w:cs="宋体"/>
                <w:sz w:val="21"/>
                <w:szCs w:val="21"/>
                <w:highlight w:val="none"/>
                <w:u w:val="single"/>
              </w:rPr>
              <w:t xml:space="preserve">                         </w:t>
            </w:r>
            <w:r>
              <w:rPr>
                <w:rFonts w:hint="eastAsia" w:hAnsi="宋体" w:eastAsia="宋体" w:cs="宋体"/>
                <w:sz w:val="21"/>
                <w:szCs w:val="21"/>
                <w:highlight w:val="none"/>
              </w:rPr>
              <w:t xml:space="preserve">；￥</w:t>
            </w:r>
            <w:r>
              <w:rPr>
                <w:rFonts w:hint="eastAsia" w:hAnsi="宋体" w:eastAsia="宋体" w:cs="宋体"/>
                <w:sz w:val="21"/>
                <w:szCs w:val="21"/>
                <w:highlight w:val="none"/>
                <w:u w:val="single"/>
              </w:rPr>
              <w:t xml:space="preserve">                       </w:t>
            </w:r>
            <w:r>
              <w:rPr>
                <w:rFonts w:hint="eastAsia" w:hAnsi="宋体" w:eastAsia="宋体" w:cs="宋体"/>
                <w:sz w:val="21"/>
                <w:szCs w:val="21"/>
                <w:highlight w:val="none"/>
              </w:rPr>
              <w:t xml:space="preserve"> ；</w:t>
            </w:r>
            <w:r/>
          </w:p>
        </w:tc>
      </w:tr>
    </w:tbl>
    <w:p>
      <w:pPr>
        <w:spacing w:line="440" w:lineRule="exact"/>
        <w:rPr>
          <w:rFonts w:ascii="宋体" w:hAnsi="宋体" w:eastAsia="宋体" w:cs="宋体"/>
          <w:bCs/>
          <w:sz w:val="21"/>
          <w:szCs w:val="21"/>
          <w:highlight w:val="none"/>
        </w:rPr>
      </w:pPr>
      <w:r>
        <w:rPr>
          <w:rFonts w:hint="eastAsia" w:ascii="宋体" w:hAnsi="宋体" w:eastAsia="宋体" w:cs="宋体"/>
          <w:sz w:val="21"/>
          <w:szCs w:val="21"/>
          <w:highlight w:val="none"/>
        </w:rPr>
        <w:t xml:space="preserve">注：“</w:t>
      </w:r>
      <w:r>
        <w:rPr>
          <w:rFonts w:hint="eastAsia" w:ascii="宋体" w:hAnsi="宋体" w:eastAsia="宋体" w:cs="宋体"/>
          <w:bCs/>
          <w:sz w:val="21"/>
          <w:szCs w:val="21"/>
          <w:highlight w:val="none"/>
        </w:rPr>
        <w:t xml:space="preserve">投标报价分析表”投标总价应当与“开标一览表”的</w:t>
      </w:r>
      <w:r>
        <w:rPr>
          <w:rFonts w:hint="eastAsia" w:ascii="宋体" w:hAnsi="宋体" w:eastAsia="宋体" w:cs="宋体"/>
          <w:sz w:val="21"/>
          <w:szCs w:val="21"/>
          <w:highlight w:val="none"/>
        </w:rPr>
        <w:t xml:space="preserve">投标总价</w:t>
      </w:r>
      <w:r>
        <w:rPr>
          <w:rFonts w:hint="eastAsia" w:ascii="宋体" w:hAnsi="宋体" w:eastAsia="宋体" w:cs="宋体"/>
          <w:bCs/>
          <w:sz w:val="21"/>
          <w:szCs w:val="21"/>
          <w:highlight w:val="none"/>
        </w:rPr>
        <w:t xml:space="preserve">相等，如不相等，以“开标一览表”为准。</w:t>
      </w:r>
      <w:r/>
    </w:p>
    <w:p>
      <w:pPr>
        <w:ind w:firstLine="210"/>
        <w:jc w:val="left"/>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投标单位（公章）：</w:t>
      </w:r>
      <w:r/>
    </w:p>
    <w:p>
      <w:pPr>
        <w:ind w:firstLine="210"/>
        <w:jc w:val="left"/>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法定代表人或代理人：（签字或签章）</w:t>
      </w:r>
      <w:r/>
    </w:p>
    <w:p>
      <w:pPr>
        <w:ind w:firstLine="210"/>
        <w:jc w:val="left"/>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日期：     年     月     日</w:t>
      </w:r>
      <w:r/>
    </w:p>
    <w:p>
      <w:pPr>
        <w:rPr>
          <w:rFonts w:hAnsi="宋体" w:eastAsia="宋体"/>
          <w:b/>
          <w:sz w:val="21"/>
          <w:szCs w:val="21"/>
          <w:highlight w:val="none"/>
        </w:rPr>
      </w:pPr>
      <w:r>
        <w:rPr>
          <w:rFonts w:ascii="宋体" w:hAnsi="宋体" w:eastAsia="宋体"/>
          <w:b/>
          <w:sz w:val="21"/>
          <w:szCs w:val="21"/>
          <w:highlight w:val="none"/>
        </w:rPr>
        <w:br w:type="page" w:clear="all"/>
      </w:r>
      <w:bookmarkStart w:id="31" w:name="_Toc492394294"/>
      <w:r>
        <w:rPr>
          <w:rFonts w:hint="eastAsia" w:hAnsi="宋体" w:eastAsia="宋体"/>
          <w:b/>
          <w:sz w:val="21"/>
          <w:szCs w:val="21"/>
          <w:highlight w:val="none"/>
        </w:rPr>
        <w:t xml:space="preserve">四、技术要求偏离表</w:t>
      </w:r>
      <w:r/>
    </w:p>
    <w:p>
      <w:pPr>
        <w:pStyle w:val="945"/>
        <w:jc w:val="center"/>
        <w:spacing w:line="360" w:lineRule="auto"/>
        <w:rPr>
          <w:rFonts w:hAnsi="宋体" w:eastAsia="宋体"/>
          <w:b/>
          <w:sz w:val="30"/>
          <w:szCs w:val="30"/>
          <w:highlight w:val="none"/>
        </w:rPr>
      </w:pPr>
      <w:r>
        <w:rPr>
          <w:rFonts w:hint="eastAsia" w:hAnsi="宋体" w:eastAsia="宋体"/>
          <w:b/>
          <w:sz w:val="30"/>
          <w:szCs w:val="30"/>
          <w:highlight w:val="none"/>
        </w:rPr>
        <w:t xml:space="preserve">技术要求偏离表</w:t>
      </w:r>
      <w:r/>
    </w:p>
    <w:tbl>
      <w:tblPr>
        <w:tblStyle w:val="701"/>
        <w:tblW w:w="91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108"/>
        <w:gridCol w:w="1752"/>
        <w:gridCol w:w="1699"/>
        <w:gridCol w:w="1757"/>
      </w:tblGrid>
      <w:tr>
        <w:trPr>
          <w:jc w:val="center"/>
        </w:trPr>
        <w:tc>
          <w:tcPr>
            <w:tcW w:w="828" w:type="dxa"/>
            <w:vAlign w:val="center"/>
            <w:textDirection w:val="lrTb"/>
            <w:noWrap w:val="false"/>
          </w:tcPr>
          <w:p>
            <w:pPr>
              <w:jc w:val="center"/>
              <w:spacing w:before="240" w:after="240"/>
              <w:widowControl/>
              <w:rPr>
                <w:rFonts w:ascii="宋体" w:hAnsi="宋体" w:eastAsia="宋体"/>
                <w:sz w:val="21"/>
                <w:szCs w:val="21"/>
                <w:highlight w:val="none"/>
              </w:rPr>
            </w:pPr>
            <w:r>
              <w:rPr>
                <w:rFonts w:hint="eastAsia" w:ascii="宋体" w:hAnsi="宋体" w:eastAsia="宋体"/>
                <w:sz w:val="21"/>
                <w:szCs w:val="21"/>
                <w:highlight w:val="none"/>
              </w:rPr>
              <w:t xml:space="preserve">序号</w:t>
            </w:r>
            <w:r/>
          </w:p>
        </w:tc>
        <w:tc>
          <w:tcPr>
            <w:tcW w:w="3108" w:type="dxa"/>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招标服务要求</w:t>
            </w:r>
            <w:r/>
          </w:p>
        </w:tc>
        <w:tc>
          <w:tcPr>
            <w:tcW w:w="1752" w:type="dxa"/>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投标服务要求</w:t>
            </w:r>
            <w:r/>
          </w:p>
        </w:tc>
        <w:tc>
          <w:tcPr>
            <w:tcW w:w="1699" w:type="dxa"/>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偏离/响应</w:t>
            </w:r>
            <w:r/>
          </w:p>
        </w:tc>
        <w:tc>
          <w:tcPr>
            <w:tcW w:w="1757" w:type="dxa"/>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说明</w:t>
            </w:r>
            <w:r/>
          </w:p>
        </w:tc>
      </w:tr>
      <w:tr>
        <w:trPr>
          <w:jc w:val="center"/>
        </w:trPr>
        <w:tc>
          <w:tcPr>
            <w:tcW w:w="828" w:type="dxa"/>
            <w:textDirection w:val="lrTb"/>
            <w:noWrap w:val="false"/>
          </w:tcPr>
          <w:p>
            <w:pPr>
              <w:jc w:val="left"/>
              <w:spacing w:before="240" w:after="240"/>
              <w:widowControl/>
              <w:rPr>
                <w:rFonts w:ascii="宋体" w:hAnsi="宋体" w:eastAsia="宋体"/>
                <w:sz w:val="21"/>
                <w:szCs w:val="21"/>
                <w:highlight w:val="none"/>
              </w:rPr>
            </w:pPr>
            <w:r>
              <w:rPr>
                <w:rFonts w:ascii="宋体" w:hAnsi="宋体" w:eastAsia="宋体"/>
                <w:sz w:val="21"/>
                <w:szCs w:val="21"/>
                <w:highlight w:val="none"/>
              </w:rPr>
            </w:r>
            <w:r/>
          </w:p>
        </w:tc>
        <w:tc>
          <w:tcPr>
            <w:tcW w:w="3108" w:type="dxa"/>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r>
            <w:r/>
          </w:p>
        </w:tc>
        <w:tc>
          <w:tcPr>
            <w:tcW w:w="1752"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c>
          <w:tcPr>
            <w:tcW w:w="1699"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c>
          <w:tcPr>
            <w:tcW w:w="1757"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r>
      <w:tr>
        <w:trPr>
          <w:jc w:val="center"/>
        </w:trPr>
        <w:tc>
          <w:tcPr>
            <w:tcW w:w="828" w:type="dxa"/>
            <w:textDirection w:val="lrTb"/>
            <w:noWrap w:val="false"/>
          </w:tcPr>
          <w:p>
            <w:pPr>
              <w:jc w:val="left"/>
              <w:spacing w:before="240" w:after="240"/>
              <w:widowControl/>
              <w:rPr>
                <w:rFonts w:ascii="宋体" w:hAnsi="宋体" w:eastAsia="宋体"/>
                <w:sz w:val="21"/>
                <w:szCs w:val="21"/>
                <w:highlight w:val="none"/>
              </w:rPr>
            </w:pPr>
            <w:r>
              <w:rPr>
                <w:rFonts w:ascii="宋体" w:hAnsi="宋体" w:eastAsia="宋体"/>
                <w:sz w:val="21"/>
                <w:szCs w:val="21"/>
                <w:highlight w:val="none"/>
              </w:rPr>
            </w:r>
            <w:r/>
          </w:p>
        </w:tc>
        <w:tc>
          <w:tcPr>
            <w:tcW w:w="3108"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c>
          <w:tcPr>
            <w:tcW w:w="1752"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c>
          <w:tcPr>
            <w:tcW w:w="1699"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c>
          <w:tcPr>
            <w:tcW w:w="1757"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r>
      <w:tr>
        <w:trPr>
          <w:jc w:val="center"/>
        </w:trPr>
        <w:tc>
          <w:tcPr>
            <w:tcW w:w="828" w:type="dxa"/>
            <w:textDirection w:val="lrTb"/>
            <w:noWrap w:val="false"/>
          </w:tcPr>
          <w:p>
            <w:pPr>
              <w:jc w:val="left"/>
              <w:spacing w:before="240" w:after="240"/>
              <w:widowControl/>
              <w:rPr>
                <w:rFonts w:ascii="宋体" w:hAnsi="宋体" w:eastAsia="宋体"/>
                <w:sz w:val="21"/>
                <w:szCs w:val="21"/>
                <w:highlight w:val="none"/>
              </w:rPr>
            </w:pPr>
            <w:r>
              <w:rPr>
                <w:rFonts w:ascii="宋体" w:hAnsi="宋体" w:eastAsia="宋体"/>
                <w:sz w:val="21"/>
                <w:szCs w:val="21"/>
                <w:highlight w:val="none"/>
              </w:rPr>
            </w:r>
            <w:r/>
          </w:p>
        </w:tc>
        <w:tc>
          <w:tcPr>
            <w:tcW w:w="3108"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c>
          <w:tcPr>
            <w:tcW w:w="1752"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c>
          <w:tcPr>
            <w:tcW w:w="1699"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c>
          <w:tcPr>
            <w:tcW w:w="1757"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r>
      <w:tr>
        <w:trPr>
          <w:jc w:val="center"/>
        </w:trPr>
        <w:tc>
          <w:tcPr>
            <w:tcW w:w="828" w:type="dxa"/>
            <w:textDirection w:val="lrTb"/>
            <w:noWrap w:val="false"/>
          </w:tcPr>
          <w:p>
            <w:pPr>
              <w:jc w:val="left"/>
              <w:spacing w:before="240" w:after="240"/>
              <w:widowControl/>
              <w:rPr>
                <w:rFonts w:ascii="宋体" w:hAnsi="宋体" w:eastAsia="宋体"/>
                <w:sz w:val="21"/>
                <w:szCs w:val="21"/>
                <w:highlight w:val="none"/>
              </w:rPr>
            </w:pPr>
            <w:r>
              <w:rPr>
                <w:rFonts w:ascii="宋体" w:hAnsi="宋体" w:eastAsia="宋体"/>
                <w:sz w:val="21"/>
                <w:szCs w:val="21"/>
                <w:highlight w:val="none"/>
              </w:rPr>
            </w:r>
            <w:r/>
          </w:p>
        </w:tc>
        <w:tc>
          <w:tcPr>
            <w:tcW w:w="3108"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c>
          <w:tcPr>
            <w:tcW w:w="1752"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c>
          <w:tcPr>
            <w:tcW w:w="1699"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c>
          <w:tcPr>
            <w:tcW w:w="1757"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r>
      <w:tr>
        <w:trPr>
          <w:jc w:val="center"/>
        </w:trPr>
        <w:tc>
          <w:tcPr>
            <w:tcW w:w="828" w:type="dxa"/>
            <w:textDirection w:val="lrTb"/>
            <w:noWrap w:val="false"/>
          </w:tcPr>
          <w:p>
            <w:pPr>
              <w:jc w:val="left"/>
              <w:spacing w:before="240" w:after="240"/>
              <w:widowControl/>
              <w:rPr>
                <w:rFonts w:ascii="宋体" w:hAnsi="宋体" w:eastAsia="宋体"/>
                <w:sz w:val="21"/>
                <w:szCs w:val="21"/>
                <w:highlight w:val="none"/>
              </w:rPr>
            </w:pPr>
            <w:r>
              <w:rPr>
                <w:rFonts w:ascii="宋体" w:hAnsi="宋体" w:eastAsia="宋体"/>
                <w:sz w:val="21"/>
                <w:szCs w:val="21"/>
                <w:highlight w:val="none"/>
              </w:rPr>
            </w:r>
            <w:r/>
          </w:p>
        </w:tc>
        <w:tc>
          <w:tcPr>
            <w:tcW w:w="3108"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c>
          <w:tcPr>
            <w:tcW w:w="1752"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c>
          <w:tcPr>
            <w:tcW w:w="1699"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c>
          <w:tcPr>
            <w:tcW w:w="1757"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r>
      <w:tr>
        <w:trPr>
          <w:jc w:val="center"/>
        </w:trPr>
        <w:tc>
          <w:tcPr>
            <w:tcW w:w="828" w:type="dxa"/>
            <w:textDirection w:val="lrTb"/>
            <w:noWrap w:val="false"/>
          </w:tcPr>
          <w:p>
            <w:pPr>
              <w:jc w:val="left"/>
              <w:spacing w:before="240" w:after="240"/>
              <w:widowControl/>
              <w:rPr>
                <w:rFonts w:ascii="宋体" w:hAnsi="宋体" w:eastAsia="宋体"/>
                <w:sz w:val="21"/>
                <w:szCs w:val="21"/>
                <w:highlight w:val="none"/>
              </w:rPr>
            </w:pPr>
            <w:r>
              <w:rPr>
                <w:rFonts w:ascii="宋体" w:hAnsi="宋体" w:eastAsia="宋体"/>
                <w:sz w:val="21"/>
                <w:szCs w:val="21"/>
                <w:highlight w:val="none"/>
              </w:rPr>
            </w:r>
            <w:r/>
          </w:p>
        </w:tc>
        <w:tc>
          <w:tcPr>
            <w:tcW w:w="3108"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c>
          <w:tcPr>
            <w:tcW w:w="1752"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c>
          <w:tcPr>
            <w:tcW w:w="1699"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c>
          <w:tcPr>
            <w:tcW w:w="1757"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r>
      <w:tr>
        <w:trPr>
          <w:jc w:val="center"/>
        </w:trPr>
        <w:tc>
          <w:tcPr>
            <w:tcW w:w="828" w:type="dxa"/>
            <w:textDirection w:val="lrTb"/>
            <w:noWrap w:val="false"/>
          </w:tcPr>
          <w:p>
            <w:pPr>
              <w:jc w:val="left"/>
              <w:spacing w:before="240" w:after="240"/>
              <w:widowControl/>
              <w:rPr>
                <w:rFonts w:ascii="宋体" w:hAnsi="宋体" w:eastAsia="宋体"/>
                <w:sz w:val="21"/>
                <w:szCs w:val="21"/>
                <w:highlight w:val="none"/>
              </w:rPr>
            </w:pPr>
            <w:r>
              <w:rPr>
                <w:rFonts w:ascii="宋体" w:hAnsi="宋体" w:eastAsia="宋体"/>
                <w:sz w:val="21"/>
                <w:szCs w:val="21"/>
                <w:highlight w:val="none"/>
              </w:rPr>
            </w:r>
            <w:r/>
          </w:p>
        </w:tc>
        <w:tc>
          <w:tcPr>
            <w:tcW w:w="3108"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c>
          <w:tcPr>
            <w:tcW w:w="1752"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c>
          <w:tcPr>
            <w:tcW w:w="1699"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c>
          <w:tcPr>
            <w:tcW w:w="1757"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r>
      <w:tr>
        <w:trPr>
          <w:jc w:val="center"/>
        </w:trPr>
        <w:tc>
          <w:tcPr>
            <w:tcW w:w="828" w:type="dxa"/>
            <w:textDirection w:val="lrTb"/>
            <w:noWrap w:val="false"/>
          </w:tcPr>
          <w:p>
            <w:pPr>
              <w:jc w:val="left"/>
              <w:spacing w:before="240" w:after="240"/>
              <w:widowControl/>
              <w:rPr>
                <w:rFonts w:ascii="宋体" w:hAnsi="宋体" w:eastAsia="宋体"/>
                <w:sz w:val="21"/>
                <w:szCs w:val="21"/>
                <w:highlight w:val="none"/>
              </w:rPr>
            </w:pPr>
            <w:r>
              <w:rPr>
                <w:rFonts w:ascii="宋体" w:hAnsi="宋体" w:eastAsia="宋体"/>
                <w:sz w:val="21"/>
                <w:szCs w:val="21"/>
                <w:highlight w:val="none"/>
              </w:rPr>
            </w:r>
            <w:r/>
          </w:p>
        </w:tc>
        <w:tc>
          <w:tcPr>
            <w:tcW w:w="3108"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c>
          <w:tcPr>
            <w:tcW w:w="1752"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c>
          <w:tcPr>
            <w:tcW w:w="1699"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c>
          <w:tcPr>
            <w:tcW w:w="1757" w:type="dxa"/>
            <w:textDirection w:val="lrTb"/>
            <w:noWrap w:val="false"/>
          </w:tcPr>
          <w:p>
            <w:pPr>
              <w:jc w:val="left"/>
              <w:widowControl/>
              <w:rPr>
                <w:rFonts w:ascii="宋体" w:hAnsi="宋体" w:eastAsia="宋体"/>
                <w:sz w:val="21"/>
                <w:szCs w:val="21"/>
                <w:highlight w:val="none"/>
              </w:rPr>
            </w:pPr>
            <w:r>
              <w:rPr>
                <w:rFonts w:ascii="宋体" w:hAnsi="宋体" w:eastAsia="宋体"/>
                <w:sz w:val="21"/>
                <w:szCs w:val="21"/>
                <w:highlight w:val="none"/>
              </w:rPr>
            </w:r>
            <w:r/>
          </w:p>
        </w:tc>
      </w:tr>
    </w:tbl>
    <w:p>
      <w:pPr>
        <w:jc w:val="left"/>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注：1、投标单位应对照招标文件技术要求等要求，所投标的物与招标文件的规定有偏离的，应在此表中申明与技术要求条文的偏差和例外。</w:t>
      </w:r>
      <w:r/>
    </w:p>
    <w:p>
      <w:pPr>
        <w:ind w:firstLine="420"/>
        <w:jc w:val="left"/>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2、未在上表中说明的，如在投标文件其他内容中已有文字说明的，则以已有文字说明为准，否则，将被认为完全响应招标文件的规定。但该表不作为投标单位对所投标的物关于技术要求等详细描述和说明的替代。</w:t>
      </w:r>
      <w:r/>
    </w:p>
    <w:p>
      <w:pPr>
        <w:ind w:firstLine="420"/>
        <w:jc w:val="left"/>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投标单位（公章）：</w:t>
      </w:r>
      <w:r/>
    </w:p>
    <w:p>
      <w:pPr>
        <w:ind w:firstLine="420"/>
        <w:jc w:val="left"/>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法定代表人或代理人：（签字或签章）</w:t>
      </w:r>
      <w:r/>
    </w:p>
    <w:p>
      <w:pPr>
        <w:ind w:firstLine="420"/>
        <w:jc w:val="left"/>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日期：     年     月     日</w:t>
      </w:r>
      <w:r/>
    </w:p>
    <w:p>
      <w:pPr>
        <w:pStyle w:val="939"/>
        <w:jc w:val="left"/>
        <w:spacing w:line="360" w:lineRule="auto"/>
        <w:rPr>
          <w:rFonts w:hAnsi="宋体" w:eastAsia="宋体"/>
          <w:b/>
          <w:sz w:val="21"/>
          <w:szCs w:val="21"/>
          <w:highlight w:val="none"/>
        </w:rPr>
      </w:pPr>
      <w:r>
        <w:rPr>
          <w:rFonts w:hint="eastAsia" w:hAnsi="宋体" w:eastAsia="宋体" w:cs="宋体"/>
          <w:b/>
          <w:bCs/>
          <w:sz w:val="21"/>
          <w:szCs w:val="21"/>
          <w:highlight w:val="none"/>
        </w:rPr>
        <w:br w:type="page" w:clear="all"/>
      </w:r>
      <w:r>
        <w:rPr>
          <w:rFonts w:hint="eastAsia" w:hAnsi="宋体" w:eastAsia="宋体"/>
          <w:b/>
          <w:sz w:val="21"/>
          <w:szCs w:val="21"/>
          <w:highlight w:val="none"/>
        </w:rPr>
        <w:t xml:space="preserve">五、商务条款偏离表</w:t>
      </w:r>
      <w:r/>
    </w:p>
    <w:p>
      <w:pPr>
        <w:jc w:val="center"/>
        <w:spacing w:line="360" w:lineRule="auto"/>
        <w:rPr>
          <w:rFonts w:ascii="宋体" w:hAnsi="宋体" w:eastAsia="宋体"/>
          <w:b/>
          <w:sz w:val="30"/>
          <w:szCs w:val="30"/>
          <w:highlight w:val="none"/>
        </w:rPr>
      </w:pPr>
      <w:r>
        <w:rPr>
          <w:rFonts w:hint="eastAsia" w:ascii="宋体" w:hAnsi="宋体" w:eastAsia="宋体"/>
          <w:b/>
          <w:sz w:val="30"/>
          <w:szCs w:val="30"/>
          <w:highlight w:val="none"/>
        </w:rPr>
        <w:t xml:space="preserve">商务条款偏离表</w:t>
      </w:r>
      <w:r/>
    </w:p>
    <w:tbl>
      <w:tblPr>
        <w:tblStyle w:val="701"/>
        <w:tblW w:w="72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1"/>
        <w:gridCol w:w="2282"/>
        <w:gridCol w:w="2232"/>
        <w:gridCol w:w="1259"/>
      </w:tblGrid>
      <w:tr>
        <w:trPr>
          <w:jc w:val="center"/>
          <w:trHeight w:val="551"/>
        </w:trPr>
        <w:tc>
          <w:tcPr>
            <w:tcW w:w="1431" w:type="dxa"/>
            <w:textDirection w:val="lrTb"/>
            <w:noWrap w:val="false"/>
          </w:tcPr>
          <w:p>
            <w:pPr>
              <w:jc w:val="center"/>
              <w:spacing w:before="190" w:line="360" w:lineRule="auto"/>
              <w:rPr>
                <w:rFonts w:ascii="宋体" w:hAnsi="宋体" w:eastAsia="宋体"/>
                <w:bCs/>
                <w:sz w:val="21"/>
                <w:szCs w:val="21"/>
                <w:highlight w:val="none"/>
                <w:lang w:val="zh-CN"/>
              </w:rPr>
            </w:pPr>
            <w:r>
              <w:rPr>
                <w:rFonts w:hint="eastAsia" w:ascii="宋体" w:hAnsi="宋体" w:eastAsia="宋体"/>
                <w:bCs/>
                <w:sz w:val="21"/>
                <w:szCs w:val="21"/>
                <w:highlight w:val="none"/>
                <w:lang w:val="zh-CN"/>
              </w:rPr>
              <w:t xml:space="preserve">序号</w:t>
            </w:r>
            <w:r/>
          </w:p>
        </w:tc>
        <w:tc>
          <w:tcPr>
            <w:tcW w:w="2282" w:type="dxa"/>
            <w:textDirection w:val="lrTb"/>
            <w:noWrap w:val="false"/>
          </w:tcPr>
          <w:p>
            <w:pPr>
              <w:jc w:val="center"/>
              <w:spacing w:before="190" w:line="360" w:lineRule="auto"/>
              <w:rPr>
                <w:rFonts w:ascii="宋体" w:hAnsi="宋体" w:eastAsia="宋体"/>
                <w:bCs/>
                <w:sz w:val="21"/>
                <w:szCs w:val="21"/>
                <w:highlight w:val="none"/>
                <w:lang w:val="zh-CN"/>
              </w:rPr>
            </w:pPr>
            <w:r>
              <w:rPr>
                <w:rFonts w:hint="eastAsia" w:ascii="宋体" w:hAnsi="宋体" w:eastAsia="宋体"/>
                <w:bCs/>
                <w:sz w:val="21"/>
                <w:szCs w:val="21"/>
                <w:highlight w:val="none"/>
                <w:lang w:val="zh-CN"/>
              </w:rPr>
              <w:t xml:space="preserve">招标文件的商务条款</w:t>
            </w:r>
            <w:r/>
          </w:p>
        </w:tc>
        <w:tc>
          <w:tcPr>
            <w:tcW w:w="2232" w:type="dxa"/>
            <w:textDirection w:val="lrTb"/>
            <w:noWrap w:val="false"/>
          </w:tcPr>
          <w:p>
            <w:pPr>
              <w:jc w:val="center"/>
              <w:spacing w:before="190" w:line="360" w:lineRule="auto"/>
              <w:rPr>
                <w:rFonts w:ascii="宋体" w:hAnsi="宋体" w:eastAsia="宋体"/>
                <w:bCs/>
                <w:sz w:val="21"/>
                <w:szCs w:val="21"/>
                <w:highlight w:val="none"/>
                <w:lang w:val="zh-CN"/>
              </w:rPr>
            </w:pPr>
            <w:r>
              <w:rPr>
                <w:rFonts w:hint="eastAsia" w:ascii="宋体" w:hAnsi="宋体" w:eastAsia="宋体"/>
                <w:bCs/>
                <w:sz w:val="21"/>
                <w:szCs w:val="21"/>
                <w:highlight w:val="none"/>
                <w:lang w:val="zh-CN"/>
              </w:rPr>
              <w:t xml:space="preserve">投标文件的商务条款</w:t>
            </w:r>
            <w:r/>
          </w:p>
        </w:tc>
        <w:tc>
          <w:tcPr>
            <w:tcW w:w="1259" w:type="dxa"/>
            <w:textDirection w:val="lrTb"/>
            <w:noWrap w:val="false"/>
          </w:tcPr>
          <w:p>
            <w:pPr>
              <w:jc w:val="center"/>
              <w:spacing w:before="190" w:line="360" w:lineRule="auto"/>
              <w:rPr>
                <w:rFonts w:ascii="宋体" w:hAnsi="宋体" w:eastAsia="宋体"/>
                <w:bCs/>
                <w:sz w:val="21"/>
                <w:szCs w:val="21"/>
                <w:highlight w:val="none"/>
                <w:lang w:val="zh-CN"/>
              </w:rPr>
            </w:pPr>
            <w:r>
              <w:rPr>
                <w:rFonts w:hint="eastAsia" w:ascii="宋体" w:hAnsi="宋体" w:eastAsia="宋体"/>
                <w:bCs/>
                <w:sz w:val="21"/>
                <w:szCs w:val="21"/>
                <w:highlight w:val="none"/>
                <w:lang w:val="en-US" w:eastAsia="zh-CN"/>
              </w:rPr>
              <w:t xml:space="preserve">偏离</w:t>
            </w:r>
            <w:r>
              <w:rPr>
                <w:rFonts w:hint="eastAsia" w:ascii="宋体" w:hAnsi="宋体" w:eastAsia="宋体"/>
                <w:bCs/>
                <w:sz w:val="21"/>
                <w:szCs w:val="21"/>
                <w:highlight w:val="none"/>
                <w:lang w:val="zh-CN"/>
              </w:rPr>
              <w:t xml:space="preserve">说明</w:t>
            </w:r>
            <w:r/>
          </w:p>
        </w:tc>
      </w:tr>
      <w:tr>
        <w:trPr>
          <w:jc w:val="center"/>
          <w:trHeight w:val="573"/>
        </w:trPr>
        <w:tc>
          <w:tcPr>
            <w:tcW w:w="1431" w:type="dxa"/>
            <w:textDirection w:val="lrTb"/>
            <w:noWrap w:val="false"/>
          </w:tcPr>
          <w:p>
            <w:pPr>
              <w:jc w:val="center"/>
              <w:spacing w:line="360" w:lineRule="auto"/>
              <w:rPr>
                <w:rFonts w:ascii="宋体" w:hAnsi="宋体" w:eastAsia="宋体"/>
                <w:b/>
                <w:bCs/>
                <w:sz w:val="21"/>
                <w:szCs w:val="21"/>
                <w:highlight w:val="none"/>
                <w:lang w:val="zh-CN"/>
              </w:rPr>
            </w:pPr>
            <w:r>
              <w:rPr>
                <w:rFonts w:ascii="宋体" w:hAnsi="宋体" w:eastAsia="宋体"/>
                <w:b/>
                <w:bCs/>
                <w:sz w:val="21"/>
                <w:szCs w:val="21"/>
                <w:highlight w:val="none"/>
                <w:lang w:val="zh-CN"/>
              </w:rPr>
            </w:r>
            <w:r/>
          </w:p>
        </w:tc>
        <w:tc>
          <w:tcPr>
            <w:tcW w:w="2282" w:type="dxa"/>
            <w:textDirection w:val="lrTb"/>
            <w:noWrap w:val="false"/>
          </w:tcPr>
          <w:p>
            <w:pPr>
              <w:jc w:val="center"/>
              <w:spacing w:line="360" w:lineRule="auto"/>
              <w:rPr>
                <w:rFonts w:ascii="宋体" w:hAnsi="宋体" w:eastAsia="宋体"/>
                <w:b/>
                <w:bCs/>
                <w:sz w:val="21"/>
                <w:szCs w:val="21"/>
                <w:highlight w:val="none"/>
                <w:lang w:val="zh-CN"/>
              </w:rPr>
            </w:pPr>
            <w:r>
              <w:rPr>
                <w:rFonts w:ascii="宋体" w:hAnsi="宋体" w:eastAsia="宋体"/>
                <w:b/>
                <w:bCs/>
                <w:sz w:val="21"/>
                <w:szCs w:val="21"/>
                <w:highlight w:val="none"/>
                <w:lang w:val="zh-CN"/>
              </w:rPr>
            </w:r>
            <w:r/>
          </w:p>
        </w:tc>
        <w:tc>
          <w:tcPr>
            <w:tcW w:w="2232" w:type="dxa"/>
            <w:textDirection w:val="lrTb"/>
            <w:noWrap w:val="false"/>
          </w:tcPr>
          <w:p>
            <w:pPr>
              <w:jc w:val="center"/>
              <w:spacing w:line="360" w:lineRule="auto"/>
              <w:rPr>
                <w:rFonts w:ascii="宋体" w:hAnsi="宋体" w:eastAsia="宋体"/>
                <w:b/>
                <w:bCs/>
                <w:sz w:val="21"/>
                <w:szCs w:val="21"/>
                <w:highlight w:val="none"/>
                <w:lang w:val="zh-CN"/>
              </w:rPr>
            </w:pPr>
            <w:r>
              <w:rPr>
                <w:rFonts w:ascii="宋体" w:hAnsi="宋体" w:eastAsia="宋体"/>
                <w:b/>
                <w:bCs/>
                <w:sz w:val="21"/>
                <w:szCs w:val="21"/>
                <w:highlight w:val="none"/>
                <w:lang w:val="zh-CN"/>
              </w:rPr>
            </w:r>
            <w:r/>
          </w:p>
        </w:tc>
        <w:tc>
          <w:tcPr>
            <w:tcW w:w="1259" w:type="dxa"/>
            <w:textDirection w:val="lrTb"/>
            <w:noWrap w:val="false"/>
          </w:tcPr>
          <w:p>
            <w:pPr>
              <w:jc w:val="center"/>
              <w:spacing w:line="360" w:lineRule="auto"/>
              <w:rPr>
                <w:rFonts w:ascii="宋体" w:hAnsi="宋体" w:eastAsia="宋体"/>
                <w:b/>
                <w:bCs/>
                <w:sz w:val="21"/>
                <w:szCs w:val="21"/>
                <w:highlight w:val="none"/>
                <w:lang w:val="zh-CN"/>
              </w:rPr>
            </w:pPr>
            <w:r>
              <w:rPr>
                <w:rFonts w:ascii="宋体" w:hAnsi="宋体" w:eastAsia="宋体"/>
                <w:b/>
                <w:bCs/>
                <w:sz w:val="21"/>
                <w:szCs w:val="21"/>
                <w:highlight w:val="none"/>
                <w:lang w:val="zh-CN"/>
              </w:rPr>
            </w:r>
            <w:r/>
          </w:p>
        </w:tc>
      </w:tr>
      <w:tr>
        <w:trPr>
          <w:jc w:val="center"/>
          <w:trHeight w:val="553"/>
        </w:trPr>
        <w:tc>
          <w:tcPr>
            <w:tcW w:w="1431" w:type="dxa"/>
            <w:textDirection w:val="lrTb"/>
            <w:noWrap w:val="false"/>
          </w:tcPr>
          <w:p>
            <w:pPr>
              <w:jc w:val="center"/>
              <w:spacing w:line="360" w:lineRule="auto"/>
              <w:rPr>
                <w:rFonts w:ascii="宋体" w:hAnsi="宋体" w:eastAsia="宋体"/>
                <w:b/>
                <w:bCs/>
                <w:sz w:val="21"/>
                <w:szCs w:val="21"/>
                <w:highlight w:val="none"/>
                <w:lang w:val="zh-CN"/>
              </w:rPr>
            </w:pPr>
            <w:r>
              <w:rPr>
                <w:rFonts w:ascii="宋体" w:hAnsi="宋体" w:eastAsia="宋体"/>
                <w:b/>
                <w:bCs/>
                <w:sz w:val="21"/>
                <w:szCs w:val="21"/>
                <w:highlight w:val="none"/>
                <w:lang w:val="zh-CN"/>
              </w:rPr>
            </w:r>
            <w:r/>
          </w:p>
        </w:tc>
        <w:tc>
          <w:tcPr>
            <w:tcW w:w="2282" w:type="dxa"/>
            <w:textDirection w:val="lrTb"/>
            <w:noWrap w:val="false"/>
          </w:tcPr>
          <w:p>
            <w:pPr>
              <w:jc w:val="center"/>
              <w:spacing w:line="360" w:lineRule="auto"/>
              <w:rPr>
                <w:rFonts w:ascii="宋体" w:hAnsi="宋体" w:eastAsia="宋体"/>
                <w:b/>
                <w:bCs/>
                <w:sz w:val="21"/>
                <w:szCs w:val="21"/>
                <w:highlight w:val="none"/>
                <w:lang w:val="zh-CN"/>
              </w:rPr>
            </w:pPr>
            <w:r>
              <w:rPr>
                <w:rFonts w:ascii="宋体" w:hAnsi="宋体" w:eastAsia="宋体"/>
                <w:b/>
                <w:bCs/>
                <w:sz w:val="21"/>
                <w:szCs w:val="21"/>
                <w:highlight w:val="none"/>
                <w:lang w:val="zh-CN"/>
              </w:rPr>
            </w:r>
            <w:r/>
          </w:p>
        </w:tc>
        <w:tc>
          <w:tcPr>
            <w:tcW w:w="2232" w:type="dxa"/>
            <w:textDirection w:val="lrTb"/>
            <w:noWrap w:val="false"/>
          </w:tcPr>
          <w:p>
            <w:pPr>
              <w:jc w:val="center"/>
              <w:spacing w:line="360" w:lineRule="auto"/>
              <w:rPr>
                <w:rFonts w:ascii="宋体" w:hAnsi="宋体" w:eastAsia="宋体"/>
                <w:b/>
                <w:bCs/>
                <w:sz w:val="21"/>
                <w:szCs w:val="21"/>
                <w:highlight w:val="none"/>
                <w:lang w:val="zh-CN"/>
              </w:rPr>
            </w:pPr>
            <w:r>
              <w:rPr>
                <w:rFonts w:ascii="宋体" w:hAnsi="宋体" w:eastAsia="宋体"/>
                <w:b/>
                <w:bCs/>
                <w:sz w:val="21"/>
                <w:szCs w:val="21"/>
                <w:highlight w:val="none"/>
                <w:lang w:val="zh-CN"/>
              </w:rPr>
            </w:r>
            <w:r/>
          </w:p>
        </w:tc>
        <w:tc>
          <w:tcPr>
            <w:tcW w:w="1259" w:type="dxa"/>
            <w:textDirection w:val="lrTb"/>
            <w:noWrap w:val="false"/>
          </w:tcPr>
          <w:p>
            <w:pPr>
              <w:jc w:val="center"/>
              <w:spacing w:line="360" w:lineRule="auto"/>
              <w:rPr>
                <w:rFonts w:ascii="宋体" w:hAnsi="宋体" w:eastAsia="宋体"/>
                <w:b/>
                <w:bCs/>
                <w:sz w:val="21"/>
                <w:szCs w:val="21"/>
                <w:highlight w:val="none"/>
                <w:lang w:val="zh-CN"/>
              </w:rPr>
            </w:pPr>
            <w:r>
              <w:rPr>
                <w:rFonts w:ascii="宋体" w:hAnsi="宋体" w:eastAsia="宋体"/>
                <w:b/>
                <w:bCs/>
                <w:sz w:val="21"/>
                <w:szCs w:val="21"/>
                <w:highlight w:val="none"/>
                <w:lang w:val="zh-CN"/>
              </w:rPr>
            </w:r>
            <w:r/>
          </w:p>
        </w:tc>
      </w:tr>
      <w:tr>
        <w:trPr>
          <w:jc w:val="center"/>
          <w:trHeight w:val="547"/>
        </w:trPr>
        <w:tc>
          <w:tcPr>
            <w:tcW w:w="1431" w:type="dxa"/>
            <w:textDirection w:val="lrTb"/>
            <w:noWrap w:val="false"/>
          </w:tcPr>
          <w:p>
            <w:pPr>
              <w:jc w:val="center"/>
              <w:spacing w:line="360" w:lineRule="auto"/>
              <w:rPr>
                <w:rFonts w:ascii="宋体" w:hAnsi="宋体" w:eastAsia="宋体"/>
                <w:b/>
                <w:bCs/>
                <w:sz w:val="21"/>
                <w:szCs w:val="21"/>
                <w:highlight w:val="none"/>
                <w:lang w:val="zh-CN"/>
              </w:rPr>
            </w:pPr>
            <w:r>
              <w:rPr>
                <w:rFonts w:ascii="宋体" w:hAnsi="宋体" w:eastAsia="宋体"/>
                <w:b/>
                <w:bCs/>
                <w:sz w:val="21"/>
                <w:szCs w:val="21"/>
                <w:highlight w:val="none"/>
                <w:lang w:val="zh-CN"/>
              </w:rPr>
            </w:r>
            <w:r/>
          </w:p>
        </w:tc>
        <w:tc>
          <w:tcPr>
            <w:tcW w:w="2282" w:type="dxa"/>
            <w:textDirection w:val="lrTb"/>
            <w:noWrap w:val="false"/>
          </w:tcPr>
          <w:p>
            <w:pPr>
              <w:jc w:val="center"/>
              <w:spacing w:line="360" w:lineRule="auto"/>
              <w:rPr>
                <w:rFonts w:ascii="宋体" w:hAnsi="宋体" w:eastAsia="宋体"/>
                <w:b/>
                <w:bCs/>
                <w:sz w:val="21"/>
                <w:szCs w:val="21"/>
                <w:highlight w:val="none"/>
                <w:lang w:val="zh-CN"/>
              </w:rPr>
            </w:pPr>
            <w:r>
              <w:rPr>
                <w:rFonts w:ascii="宋体" w:hAnsi="宋体" w:eastAsia="宋体"/>
                <w:b/>
                <w:bCs/>
                <w:sz w:val="21"/>
                <w:szCs w:val="21"/>
                <w:highlight w:val="none"/>
                <w:lang w:val="zh-CN"/>
              </w:rPr>
            </w:r>
            <w:r/>
          </w:p>
        </w:tc>
        <w:tc>
          <w:tcPr>
            <w:tcW w:w="2232" w:type="dxa"/>
            <w:textDirection w:val="lrTb"/>
            <w:noWrap w:val="false"/>
          </w:tcPr>
          <w:p>
            <w:pPr>
              <w:jc w:val="center"/>
              <w:spacing w:line="360" w:lineRule="auto"/>
              <w:rPr>
                <w:rFonts w:ascii="宋体" w:hAnsi="宋体" w:eastAsia="宋体"/>
                <w:b/>
                <w:bCs/>
                <w:sz w:val="21"/>
                <w:szCs w:val="21"/>
                <w:highlight w:val="none"/>
                <w:lang w:val="zh-CN"/>
              </w:rPr>
            </w:pPr>
            <w:r>
              <w:rPr>
                <w:rFonts w:ascii="宋体" w:hAnsi="宋体" w:eastAsia="宋体"/>
                <w:b/>
                <w:bCs/>
                <w:sz w:val="21"/>
                <w:szCs w:val="21"/>
                <w:highlight w:val="none"/>
                <w:lang w:val="zh-CN"/>
              </w:rPr>
            </w:r>
            <w:r/>
          </w:p>
        </w:tc>
        <w:tc>
          <w:tcPr>
            <w:tcW w:w="1259" w:type="dxa"/>
            <w:textDirection w:val="lrTb"/>
            <w:noWrap w:val="false"/>
          </w:tcPr>
          <w:p>
            <w:pPr>
              <w:jc w:val="center"/>
              <w:spacing w:line="360" w:lineRule="auto"/>
              <w:rPr>
                <w:rFonts w:ascii="宋体" w:hAnsi="宋体" w:eastAsia="宋体"/>
                <w:b/>
                <w:bCs/>
                <w:sz w:val="21"/>
                <w:szCs w:val="21"/>
                <w:highlight w:val="none"/>
                <w:lang w:val="zh-CN"/>
              </w:rPr>
            </w:pPr>
            <w:r>
              <w:rPr>
                <w:rFonts w:ascii="宋体" w:hAnsi="宋体" w:eastAsia="宋体"/>
                <w:b/>
                <w:bCs/>
                <w:sz w:val="21"/>
                <w:szCs w:val="21"/>
                <w:highlight w:val="none"/>
                <w:lang w:val="zh-CN"/>
              </w:rPr>
            </w:r>
            <w:r/>
          </w:p>
        </w:tc>
      </w:tr>
      <w:tr>
        <w:trPr>
          <w:jc w:val="center"/>
          <w:trHeight w:val="480"/>
        </w:trPr>
        <w:tc>
          <w:tcPr>
            <w:tcW w:w="1431" w:type="dxa"/>
            <w:textDirection w:val="lrTb"/>
            <w:noWrap w:val="false"/>
          </w:tcPr>
          <w:p>
            <w:pPr>
              <w:jc w:val="center"/>
              <w:spacing w:line="360" w:lineRule="auto"/>
              <w:rPr>
                <w:rFonts w:ascii="宋体" w:hAnsi="宋体" w:eastAsia="宋体"/>
                <w:b/>
                <w:bCs/>
                <w:sz w:val="21"/>
                <w:szCs w:val="21"/>
                <w:highlight w:val="none"/>
                <w:lang w:val="zh-CN"/>
              </w:rPr>
            </w:pPr>
            <w:r>
              <w:rPr>
                <w:rFonts w:ascii="宋体" w:hAnsi="宋体" w:eastAsia="宋体"/>
                <w:b/>
                <w:bCs/>
                <w:sz w:val="21"/>
                <w:szCs w:val="21"/>
                <w:highlight w:val="none"/>
                <w:lang w:val="zh-CN"/>
              </w:rPr>
            </w:r>
            <w:r/>
          </w:p>
        </w:tc>
        <w:tc>
          <w:tcPr>
            <w:tcW w:w="2282" w:type="dxa"/>
            <w:textDirection w:val="lrTb"/>
            <w:noWrap w:val="false"/>
          </w:tcPr>
          <w:p>
            <w:pPr>
              <w:jc w:val="center"/>
              <w:spacing w:line="360" w:lineRule="auto"/>
              <w:rPr>
                <w:rFonts w:ascii="宋体" w:hAnsi="宋体" w:eastAsia="宋体"/>
                <w:b/>
                <w:bCs/>
                <w:sz w:val="21"/>
                <w:szCs w:val="21"/>
                <w:highlight w:val="none"/>
                <w:lang w:val="zh-CN"/>
              </w:rPr>
            </w:pPr>
            <w:r>
              <w:rPr>
                <w:rFonts w:ascii="宋体" w:hAnsi="宋体" w:eastAsia="宋体"/>
                <w:b/>
                <w:bCs/>
                <w:sz w:val="21"/>
                <w:szCs w:val="21"/>
                <w:highlight w:val="none"/>
                <w:lang w:val="zh-CN"/>
              </w:rPr>
            </w:r>
            <w:r/>
          </w:p>
        </w:tc>
        <w:tc>
          <w:tcPr>
            <w:tcW w:w="2232" w:type="dxa"/>
            <w:textDirection w:val="lrTb"/>
            <w:noWrap w:val="false"/>
          </w:tcPr>
          <w:p>
            <w:pPr>
              <w:jc w:val="center"/>
              <w:spacing w:line="360" w:lineRule="auto"/>
              <w:rPr>
                <w:rFonts w:ascii="宋体" w:hAnsi="宋体" w:eastAsia="宋体"/>
                <w:b/>
                <w:bCs/>
                <w:sz w:val="21"/>
                <w:szCs w:val="21"/>
                <w:highlight w:val="none"/>
                <w:lang w:val="zh-CN"/>
              </w:rPr>
            </w:pPr>
            <w:r>
              <w:rPr>
                <w:rFonts w:ascii="宋体" w:hAnsi="宋体" w:eastAsia="宋体"/>
                <w:b/>
                <w:bCs/>
                <w:sz w:val="21"/>
                <w:szCs w:val="21"/>
                <w:highlight w:val="none"/>
                <w:lang w:val="zh-CN"/>
              </w:rPr>
            </w:r>
            <w:r/>
          </w:p>
        </w:tc>
        <w:tc>
          <w:tcPr>
            <w:tcW w:w="1259" w:type="dxa"/>
            <w:textDirection w:val="lrTb"/>
            <w:noWrap w:val="false"/>
          </w:tcPr>
          <w:p>
            <w:pPr>
              <w:jc w:val="center"/>
              <w:spacing w:line="360" w:lineRule="auto"/>
              <w:rPr>
                <w:rFonts w:ascii="宋体" w:hAnsi="宋体" w:eastAsia="宋体"/>
                <w:b/>
                <w:bCs/>
                <w:sz w:val="21"/>
                <w:szCs w:val="21"/>
                <w:highlight w:val="none"/>
                <w:lang w:val="zh-CN"/>
              </w:rPr>
            </w:pPr>
            <w:r>
              <w:rPr>
                <w:rFonts w:ascii="宋体" w:hAnsi="宋体" w:eastAsia="宋体"/>
                <w:b/>
                <w:bCs/>
                <w:sz w:val="21"/>
                <w:szCs w:val="21"/>
                <w:highlight w:val="none"/>
                <w:lang w:val="zh-CN"/>
              </w:rPr>
            </w:r>
            <w:r/>
          </w:p>
        </w:tc>
      </w:tr>
      <w:tr>
        <w:trPr>
          <w:jc w:val="center"/>
          <w:trHeight w:val="633"/>
        </w:trPr>
        <w:tc>
          <w:tcPr>
            <w:tcW w:w="1431" w:type="dxa"/>
            <w:textDirection w:val="lrTb"/>
            <w:noWrap w:val="false"/>
          </w:tcPr>
          <w:p>
            <w:pPr>
              <w:jc w:val="center"/>
              <w:spacing w:line="360" w:lineRule="auto"/>
              <w:rPr>
                <w:rFonts w:ascii="宋体" w:hAnsi="宋体" w:eastAsia="宋体"/>
                <w:b/>
                <w:bCs/>
                <w:sz w:val="21"/>
                <w:szCs w:val="21"/>
                <w:highlight w:val="none"/>
                <w:lang w:val="zh-CN"/>
              </w:rPr>
            </w:pPr>
            <w:r>
              <w:rPr>
                <w:rFonts w:ascii="宋体" w:hAnsi="宋体" w:eastAsia="宋体"/>
                <w:b/>
                <w:bCs/>
                <w:sz w:val="21"/>
                <w:szCs w:val="21"/>
                <w:highlight w:val="none"/>
                <w:lang w:val="zh-CN"/>
              </w:rPr>
            </w:r>
            <w:r/>
          </w:p>
        </w:tc>
        <w:tc>
          <w:tcPr>
            <w:tcW w:w="2282" w:type="dxa"/>
            <w:textDirection w:val="lrTb"/>
            <w:noWrap w:val="false"/>
          </w:tcPr>
          <w:p>
            <w:pPr>
              <w:jc w:val="center"/>
              <w:spacing w:line="360" w:lineRule="auto"/>
              <w:rPr>
                <w:rFonts w:ascii="宋体" w:hAnsi="宋体" w:eastAsia="宋体"/>
                <w:b/>
                <w:bCs/>
                <w:sz w:val="21"/>
                <w:szCs w:val="21"/>
                <w:highlight w:val="none"/>
                <w:lang w:val="zh-CN"/>
              </w:rPr>
            </w:pPr>
            <w:r>
              <w:rPr>
                <w:rFonts w:ascii="宋体" w:hAnsi="宋体" w:eastAsia="宋体"/>
                <w:b/>
                <w:bCs/>
                <w:sz w:val="21"/>
                <w:szCs w:val="21"/>
                <w:highlight w:val="none"/>
                <w:lang w:val="zh-CN"/>
              </w:rPr>
            </w:r>
            <w:r/>
          </w:p>
        </w:tc>
        <w:tc>
          <w:tcPr>
            <w:tcW w:w="2232" w:type="dxa"/>
            <w:textDirection w:val="lrTb"/>
            <w:noWrap w:val="false"/>
          </w:tcPr>
          <w:p>
            <w:pPr>
              <w:jc w:val="center"/>
              <w:spacing w:line="360" w:lineRule="auto"/>
              <w:rPr>
                <w:rFonts w:ascii="宋体" w:hAnsi="宋体" w:eastAsia="宋体"/>
                <w:b/>
                <w:bCs/>
                <w:sz w:val="21"/>
                <w:szCs w:val="21"/>
                <w:highlight w:val="none"/>
                <w:lang w:val="zh-CN"/>
              </w:rPr>
            </w:pPr>
            <w:r>
              <w:rPr>
                <w:rFonts w:ascii="宋体" w:hAnsi="宋体" w:eastAsia="宋体"/>
                <w:b/>
                <w:bCs/>
                <w:sz w:val="21"/>
                <w:szCs w:val="21"/>
                <w:highlight w:val="none"/>
                <w:lang w:val="zh-CN"/>
              </w:rPr>
            </w:r>
            <w:r/>
          </w:p>
        </w:tc>
        <w:tc>
          <w:tcPr>
            <w:tcW w:w="1259" w:type="dxa"/>
            <w:textDirection w:val="lrTb"/>
            <w:noWrap w:val="false"/>
          </w:tcPr>
          <w:p>
            <w:pPr>
              <w:jc w:val="center"/>
              <w:spacing w:line="360" w:lineRule="auto"/>
              <w:rPr>
                <w:rFonts w:ascii="宋体" w:hAnsi="宋体" w:eastAsia="宋体"/>
                <w:b/>
                <w:bCs/>
                <w:sz w:val="21"/>
                <w:szCs w:val="21"/>
                <w:highlight w:val="none"/>
                <w:lang w:val="zh-CN"/>
              </w:rPr>
            </w:pPr>
            <w:r>
              <w:rPr>
                <w:rFonts w:ascii="宋体" w:hAnsi="宋体" w:eastAsia="宋体"/>
                <w:b/>
                <w:bCs/>
                <w:sz w:val="21"/>
                <w:szCs w:val="21"/>
                <w:highlight w:val="none"/>
                <w:lang w:val="zh-CN"/>
              </w:rPr>
            </w:r>
            <w:r/>
          </w:p>
        </w:tc>
      </w:tr>
      <w:tr>
        <w:trPr>
          <w:jc w:val="center"/>
          <w:trHeight w:val="571"/>
        </w:trPr>
        <w:tc>
          <w:tcPr>
            <w:tcW w:w="1431" w:type="dxa"/>
            <w:textDirection w:val="lrTb"/>
            <w:noWrap w:val="false"/>
          </w:tcPr>
          <w:p>
            <w:pPr>
              <w:jc w:val="center"/>
              <w:spacing w:line="360" w:lineRule="auto"/>
              <w:rPr>
                <w:rFonts w:ascii="宋体" w:hAnsi="宋体" w:eastAsia="宋体"/>
                <w:b/>
                <w:bCs/>
                <w:sz w:val="21"/>
                <w:szCs w:val="21"/>
                <w:highlight w:val="none"/>
                <w:lang w:val="zh-CN"/>
              </w:rPr>
            </w:pPr>
            <w:r>
              <w:rPr>
                <w:rFonts w:ascii="宋体" w:hAnsi="宋体" w:eastAsia="宋体"/>
                <w:b/>
                <w:bCs/>
                <w:sz w:val="21"/>
                <w:szCs w:val="21"/>
                <w:highlight w:val="none"/>
                <w:lang w:val="zh-CN"/>
              </w:rPr>
            </w:r>
            <w:r/>
          </w:p>
        </w:tc>
        <w:tc>
          <w:tcPr>
            <w:tcW w:w="2282" w:type="dxa"/>
            <w:textDirection w:val="lrTb"/>
            <w:noWrap w:val="false"/>
          </w:tcPr>
          <w:p>
            <w:pPr>
              <w:jc w:val="center"/>
              <w:spacing w:line="360" w:lineRule="auto"/>
              <w:rPr>
                <w:rFonts w:ascii="宋体" w:hAnsi="宋体" w:eastAsia="宋体"/>
                <w:b/>
                <w:bCs/>
                <w:sz w:val="21"/>
                <w:szCs w:val="21"/>
                <w:highlight w:val="none"/>
                <w:lang w:val="zh-CN"/>
              </w:rPr>
            </w:pPr>
            <w:r>
              <w:rPr>
                <w:rFonts w:ascii="宋体" w:hAnsi="宋体" w:eastAsia="宋体"/>
                <w:b/>
                <w:bCs/>
                <w:sz w:val="21"/>
                <w:szCs w:val="21"/>
                <w:highlight w:val="none"/>
                <w:lang w:val="zh-CN"/>
              </w:rPr>
            </w:r>
            <w:r/>
          </w:p>
        </w:tc>
        <w:tc>
          <w:tcPr>
            <w:tcW w:w="2232" w:type="dxa"/>
            <w:textDirection w:val="lrTb"/>
            <w:noWrap w:val="false"/>
          </w:tcPr>
          <w:p>
            <w:pPr>
              <w:jc w:val="center"/>
              <w:spacing w:line="360" w:lineRule="auto"/>
              <w:rPr>
                <w:rFonts w:ascii="宋体" w:hAnsi="宋体" w:eastAsia="宋体"/>
                <w:b/>
                <w:bCs/>
                <w:sz w:val="21"/>
                <w:szCs w:val="21"/>
                <w:highlight w:val="none"/>
                <w:lang w:val="zh-CN"/>
              </w:rPr>
            </w:pPr>
            <w:r>
              <w:rPr>
                <w:rFonts w:ascii="宋体" w:hAnsi="宋体" w:eastAsia="宋体"/>
                <w:b/>
                <w:bCs/>
                <w:sz w:val="21"/>
                <w:szCs w:val="21"/>
                <w:highlight w:val="none"/>
                <w:lang w:val="zh-CN"/>
              </w:rPr>
            </w:r>
            <w:r/>
          </w:p>
        </w:tc>
        <w:tc>
          <w:tcPr>
            <w:tcW w:w="1259" w:type="dxa"/>
            <w:textDirection w:val="lrTb"/>
            <w:noWrap w:val="false"/>
          </w:tcPr>
          <w:p>
            <w:pPr>
              <w:jc w:val="center"/>
              <w:spacing w:line="360" w:lineRule="auto"/>
              <w:rPr>
                <w:rFonts w:ascii="宋体" w:hAnsi="宋体" w:eastAsia="宋体"/>
                <w:b/>
                <w:bCs/>
                <w:sz w:val="21"/>
                <w:szCs w:val="21"/>
                <w:highlight w:val="none"/>
                <w:lang w:val="zh-CN"/>
              </w:rPr>
            </w:pPr>
            <w:r>
              <w:rPr>
                <w:rFonts w:ascii="宋体" w:hAnsi="宋体" w:eastAsia="宋体"/>
                <w:b/>
                <w:bCs/>
                <w:sz w:val="21"/>
                <w:szCs w:val="21"/>
                <w:highlight w:val="none"/>
                <w:lang w:val="zh-CN"/>
              </w:rPr>
            </w:r>
            <w:r/>
          </w:p>
        </w:tc>
      </w:tr>
    </w:tbl>
    <w:p>
      <w:pPr>
        <w:jc w:val="left"/>
        <w:spacing w:line="360" w:lineRule="auto"/>
        <w:rPr>
          <w:rFonts w:ascii="宋体" w:hAnsi="宋体" w:eastAsia="宋体"/>
          <w:b/>
          <w:bCs/>
          <w:sz w:val="21"/>
          <w:szCs w:val="21"/>
          <w:highlight w:val="none"/>
          <w:lang w:val="zh-CN"/>
        </w:rPr>
      </w:pPr>
      <w:r>
        <w:rPr>
          <w:rFonts w:ascii="宋体" w:hAnsi="宋体" w:eastAsia="宋体"/>
          <w:b/>
          <w:bCs/>
          <w:sz w:val="21"/>
          <w:szCs w:val="21"/>
          <w:highlight w:val="none"/>
          <w:lang w:val="zh-CN"/>
        </w:rPr>
      </w:r>
      <w:r/>
    </w:p>
    <w:p>
      <w:pPr>
        <w:jc w:val="left"/>
        <w:spacing w:line="360" w:lineRule="auto"/>
        <w:rPr>
          <w:rFonts w:ascii="宋体" w:hAnsi="宋体" w:eastAsia="宋体"/>
          <w:b/>
          <w:bCs/>
          <w:sz w:val="21"/>
          <w:szCs w:val="21"/>
          <w:highlight w:val="none"/>
          <w:lang w:val="zh-CN"/>
        </w:rPr>
      </w:pPr>
      <w:r>
        <w:rPr>
          <w:rFonts w:ascii="宋体" w:hAnsi="宋体" w:eastAsia="宋体"/>
          <w:b/>
          <w:bCs/>
          <w:sz w:val="21"/>
          <w:szCs w:val="21"/>
          <w:highlight w:val="none"/>
          <w:lang w:val="zh-CN"/>
        </w:rPr>
      </w:r>
      <w:r/>
    </w:p>
    <w:p>
      <w:pP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投标单位（公章）：</w:t>
      </w:r>
      <w:r/>
    </w:p>
    <w:p>
      <w:pP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法定代表人或代理人：（签字或签章）</w:t>
      </w:r>
      <w:r/>
    </w:p>
    <w:p>
      <w:pPr>
        <w:rPr>
          <w:rFonts w:ascii="宋体" w:hAnsi="宋体" w:eastAsia="宋体"/>
          <w:sz w:val="21"/>
          <w:szCs w:val="21"/>
          <w:highlight w:val="none"/>
        </w:rPr>
      </w:pPr>
      <w:r>
        <w:rPr>
          <w:rFonts w:hint="eastAsia" w:ascii="宋体" w:hAnsi="宋体" w:eastAsia="宋体"/>
          <w:sz w:val="21"/>
          <w:szCs w:val="21"/>
          <w:highlight w:val="none"/>
        </w:rPr>
        <w:t xml:space="preserve">日期：年月日</w:t>
      </w:r>
      <w:r/>
    </w:p>
    <w:p>
      <w:pPr>
        <w:jc w:val="left"/>
        <w:spacing w:line="360" w:lineRule="auto"/>
        <w:rPr>
          <w:rFonts w:ascii="宋体" w:hAnsi="宋体" w:eastAsia="宋体"/>
          <w:b/>
          <w:bCs/>
          <w:sz w:val="21"/>
          <w:szCs w:val="21"/>
          <w:highlight w:val="none"/>
        </w:rPr>
      </w:pPr>
      <w:r>
        <w:rPr>
          <w:rFonts w:ascii="宋体" w:hAnsi="宋体" w:eastAsia="宋体"/>
          <w:b/>
          <w:bCs/>
          <w:sz w:val="21"/>
          <w:szCs w:val="21"/>
          <w:highlight w:val="none"/>
        </w:rPr>
      </w:r>
      <w:r/>
    </w:p>
    <w:p>
      <w:pPr>
        <w:jc w:val="left"/>
        <w:spacing w:line="360" w:lineRule="auto"/>
        <w:rPr>
          <w:rFonts w:ascii="宋体" w:hAnsi="宋体" w:eastAsia="宋体"/>
          <w:b/>
          <w:bCs/>
          <w:sz w:val="21"/>
          <w:szCs w:val="21"/>
          <w:highlight w:val="none"/>
        </w:rPr>
      </w:pPr>
      <w:r>
        <w:rPr>
          <w:rFonts w:ascii="宋体" w:hAnsi="宋体" w:eastAsia="宋体"/>
          <w:b/>
          <w:bCs/>
          <w:sz w:val="21"/>
          <w:szCs w:val="21"/>
          <w:highlight w:val="none"/>
        </w:rPr>
      </w:r>
      <w:r/>
    </w:p>
    <w:p>
      <w:pPr>
        <w:jc w:val="left"/>
        <w:spacing w:line="360" w:lineRule="auto"/>
        <w:widowControl/>
        <w:rPr>
          <w:rFonts w:ascii="宋体" w:hAnsi="宋体" w:eastAsia="宋体"/>
          <w:sz w:val="21"/>
          <w:szCs w:val="21"/>
          <w:highlight w:val="none"/>
        </w:rPr>
      </w:pPr>
      <w:r>
        <w:rPr>
          <w:rFonts w:ascii="宋体" w:hAnsi="宋体" w:eastAsia="宋体"/>
          <w:sz w:val="21"/>
          <w:szCs w:val="21"/>
          <w:highlight w:val="none"/>
        </w:rPr>
      </w:r>
      <w:r/>
    </w:p>
    <w:p>
      <w:pPr>
        <w:pStyle w:val="1136"/>
        <w:spacing w:line="360" w:lineRule="auto"/>
        <w:rPr>
          <w:rFonts w:hAnsi="宋体" w:eastAsia="宋体"/>
          <w:sz w:val="21"/>
          <w:szCs w:val="21"/>
          <w:highlight w:val="none"/>
        </w:rPr>
      </w:pPr>
      <w:r>
        <w:rPr>
          <w:rFonts w:hint="eastAsia" w:hAnsi="宋体" w:eastAsia="宋体"/>
          <w:sz w:val="21"/>
          <w:szCs w:val="21"/>
          <w:highlight w:val="none"/>
        </w:rPr>
        <w:t xml:space="preserve">注：投标单位的投标文件（除技术要求部分）与招标文件规定的有偏离的，应在此表中说明，但该表不作为投标单位对所投标的物关于商务条款等详细描述和说明的替代。未在上表中说明的，将被认为完全响应招标文件的规定。</w:t>
      </w:r>
      <w:r/>
    </w:p>
    <w:p>
      <w:pPr>
        <w:pStyle w:val="939"/>
        <w:jc w:val="left"/>
        <w:spacing w:line="360" w:lineRule="auto"/>
        <w:rPr>
          <w:rFonts w:hAnsi="宋体" w:eastAsia="宋体"/>
          <w:b/>
          <w:sz w:val="21"/>
          <w:szCs w:val="21"/>
          <w:highlight w:val="none"/>
        </w:rPr>
      </w:pPr>
      <w:r>
        <w:rPr>
          <w:rFonts w:hint="eastAsia" w:hAnsi="宋体" w:eastAsia="宋体"/>
          <w:b/>
          <w:sz w:val="21"/>
          <w:szCs w:val="21"/>
          <w:highlight w:val="none"/>
        </w:rPr>
        <w:br w:type="page" w:clear="all"/>
      </w:r>
      <w:r>
        <w:rPr>
          <w:rFonts w:hint="eastAsia" w:hAnsi="宋体" w:eastAsia="宋体"/>
          <w:b/>
          <w:sz w:val="21"/>
          <w:szCs w:val="21"/>
          <w:highlight w:val="none"/>
        </w:rPr>
        <w:t xml:space="preserve">六、资格证明文件</w:t>
      </w:r>
      <w:bookmarkEnd w:id="30"/>
      <w:r/>
      <w:bookmarkEnd w:id="31"/>
      <w:r/>
      <w:r/>
    </w:p>
    <w:p>
      <w:pPr>
        <w:pStyle w:val="939"/>
        <w:jc w:val="left"/>
        <w:spacing w:line="360" w:lineRule="auto"/>
        <w:rPr>
          <w:rFonts w:hAnsi="宋体" w:eastAsia="宋体"/>
          <w:b/>
          <w:sz w:val="21"/>
          <w:szCs w:val="21"/>
          <w:highlight w:val="none"/>
        </w:rPr>
      </w:pPr>
      <w:r>
        <w:rPr>
          <w:rFonts w:hint="eastAsia" w:hAnsi="宋体" w:eastAsia="宋体"/>
          <w:b/>
          <w:sz w:val="21"/>
          <w:szCs w:val="21"/>
          <w:highlight w:val="none"/>
        </w:rPr>
        <w:t xml:space="preserve">1、关于资格文件的声明函</w:t>
      </w:r>
      <w:r/>
    </w:p>
    <w:p>
      <w:pPr>
        <w:pStyle w:val="705"/>
        <w:ind w:firstLine="0"/>
        <w:jc w:val="center"/>
        <w:spacing w:line="360" w:lineRule="auto"/>
        <w:rPr>
          <w:rFonts w:ascii="宋体" w:hAnsi="宋体" w:eastAsia="宋体"/>
          <w:b/>
          <w:sz w:val="21"/>
          <w:szCs w:val="21"/>
          <w:highlight w:val="none"/>
        </w:rPr>
      </w:pPr>
      <w:r>
        <w:rPr>
          <w:rFonts w:ascii="宋体" w:hAnsi="宋体" w:eastAsia="宋体"/>
          <w:b/>
          <w:sz w:val="21"/>
          <w:szCs w:val="21"/>
          <w:highlight w:val="none"/>
        </w:rPr>
      </w:r>
      <w:r/>
    </w:p>
    <w:p>
      <w:pPr>
        <w:pStyle w:val="705"/>
        <w:ind w:firstLine="0"/>
        <w:jc w:val="center"/>
        <w:spacing w:line="360" w:lineRule="auto"/>
        <w:rPr>
          <w:rFonts w:ascii="宋体" w:hAnsi="宋体" w:eastAsia="宋体"/>
          <w:b/>
          <w:bCs/>
          <w:sz w:val="30"/>
          <w:szCs w:val="30"/>
          <w:highlight w:val="none"/>
        </w:rPr>
      </w:pPr>
      <w:r>
        <w:rPr>
          <w:rFonts w:hint="eastAsia" w:ascii="宋体" w:hAnsi="宋体" w:eastAsia="宋体"/>
          <w:b/>
          <w:bCs/>
          <w:sz w:val="30"/>
          <w:szCs w:val="30"/>
          <w:highlight w:val="none"/>
        </w:rPr>
        <w:t xml:space="preserve">关于资格文件的声明函</w:t>
      </w:r>
      <w:r/>
    </w:p>
    <w:p>
      <w:pPr>
        <w:pStyle w:val="705"/>
        <w:ind w:firstLine="0"/>
        <w:jc w:val="center"/>
        <w:spacing w:line="360" w:lineRule="auto"/>
        <w:rPr>
          <w:rFonts w:ascii="宋体" w:hAnsi="宋体" w:eastAsia="宋体"/>
          <w:sz w:val="21"/>
          <w:szCs w:val="21"/>
          <w:highlight w:val="none"/>
        </w:rPr>
      </w:pPr>
      <w:r>
        <w:rPr>
          <w:rFonts w:ascii="宋体" w:hAnsi="宋体" w:eastAsia="宋体"/>
          <w:sz w:val="21"/>
          <w:szCs w:val="21"/>
          <w:highlight w:val="none"/>
        </w:rPr>
      </w:r>
      <w:r/>
    </w:p>
    <w:p>
      <w:pPr>
        <w:spacing w:line="360" w:lineRule="auto"/>
        <w:rPr>
          <w:rFonts w:ascii="宋体" w:hAnsi="宋体" w:eastAsia="宋体"/>
          <w:sz w:val="21"/>
          <w:szCs w:val="21"/>
          <w:highlight w:val="none"/>
        </w:rPr>
      </w:pPr>
      <w:r>
        <w:rPr>
          <w:rFonts w:hint="eastAsia" w:ascii="宋体" w:hAnsi="宋体" w:eastAsia="宋体"/>
          <w:sz w:val="21"/>
          <w:szCs w:val="21"/>
          <w:highlight w:val="none"/>
          <w:u w:val="single"/>
          <w:lang w:val="zh-CN"/>
        </w:rPr>
        <w:t xml:space="preserve">苏州嘉泓瑞项目管理咨询有限公司</w:t>
      </w:r>
      <w:r>
        <w:rPr>
          <w:rFonts w:hint="eastAsia" w:ascii="宋体" w:hAnsi="宋体" w:eastAsia="宋体"/>
          <w:sz w:val="21"/>
          <w:szCs w:val="21"/>
          <w:highlight w:val="none"/>
          <w:lang w:val="zh-CN"/>
        </w:rPr>
        <w:t xml:space="preserve">：</w:t>
      </w:r>
      <w:r/>
    </w:p>
    <w:p>
      <w:pPr>
        <w:pStyle w:val="705"/>
        <w:jc w:val="both"/>
        <w:spacing w:line="360" w:lineRule="auto"/>
        <w:rPr>
          <w:rFonts w:ascii="宋体" w:hAnsi="宋体" w:eastAsia="宋体"/>
          <w:sz w:val="21"/>
          <w:szCs w:val="21"/>
          <w:highlight w:val="none"/>
        </w:rPr>
      </w:pPr>
      <w:r>
        <w:rPr>
          <w:rFonts w:hint="eastAsia" w:ascii="宋体" w:hAnsi="宋体" w:eastAsia="宋体"/>
          <w:sz w:val="21"/>
          <w:szCs w:val="21"/>
          <w:highlight w:val="none"/>
          <w:lang w:val="zh-CN"/>
        </w:rPr>
        <w:t xml:space="preserve">本公司愿就由贵公司组织实施的编号为</w:t>
      </w:r>
      <w:r>
        <w:rPr>
          <w:rFonts w:ascii="宋体" w:hAnsi="宋体" w:eastAsia="宋体"/>
          <w:b/>
          <w:sz w:val="21"/>
          <w:szCs w:val="21"/>
          <w:highlight w:val="none"/>
          <w:u w:val="single"/>
          <w:lang w:val="zh-CN"/>
        </w:rPr>
        <w:t xml:space="preserve">                </w:t>
      </w:r>
      <w:r>
        <w:rPr>
          <w:rFonts w:hint="eastAsia" w:ascii="宋体" w:hAnsi="宋体" w:eastAsia="宋体"/>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pStyle w:val="705"/>
        <w:jc w:val="both"/>
        <w:spacing w:line="360" w:lineRule="auto"/>
        <w:rPr>
          <w:rFonts w:ascii="宋体" w:hAnsi="宋体" w:eastAsia="宋体"/>
          <w:sz w:val="21"/>
          <w:szCs w:val="21"/>
          <w:highlight w:val="none"/>
        </w:rPr>
      </w:pPr>
      <w:r>
        <w:rPr>
          <w:rFonts w:ascii="宋体" w:hAnsi="宋体" w:eastAsia="宋体"/>
          <w:sz w:val="21"/>
          <w:szCs w:val="21"/>
          <w:highlight w:val="none"/>
        </w:rPr>
      </w:r>
      <w:r/>
    </w:p>
    <w:p>
      <w:pPr>
        <w:pStyle w:val="705"/>
        <w:jc w:val="both"/>
        <w:spacing w:line="360" w:lineRule="auto"/>
        <w:rPr>
          <w:rFonts w:ascii="宋体" w:hAnsi="宋体" w:eastAsia="宋体"/>
          <w:sz w:val="21"/>
          <w:szCs w:val="21"/>
          <w:highlight w:val="none"/>
        </w:rPr>
      </w:pPr>
      <w:r>
        <w:rPr>
          <w:rFonts w:ascii="宋体" w:hAnsi="宋体" w:eastAsia="宋体"/>
          <w:sz w:val="21"/>
          <w:szCs w:val="21"/>
          <w:highlight w:val="none"/>
        </w:rPr>
      </w:r>
      <w:r/>
    </w:p>
    <w:p>
      <w:pPr>
        <w:pStyle w:val="705"/>
        <w:jc w:val="both"/>
        <w:spacing w:line="360" w:lineRule="auto"/>
        <w:rPr>
          <w:rFonts w:ascii="宋体" w:hAnsi="宋体" w:eastAsia="宋体"/>
          <w:sz w:val="21"/>
          <w:szCs w:val="21"/>
          <w:highlight w:val="none"/>
        </w:rPr>
      </w:pPr>
      <w:r>
        <w:rPr>
          <w:rFonts w:ascii="宋体" w:hAnsi="宋体" w:eastAsia="宋体"/>
          <w:sz w:val="21"/>
          <w:szCs w:val="21"/>
          <w:highlight w:val="none"/>
        </w:rPr>
      </w:r>
      <w:r/>
    </w:p>
    <w:p>
      <w:pPr>
        <w:pStyle w:val="705"/>
        <w:jc w:val="both"/>
        <w:spacing w:line="360" w:lineRule="auto"/>
        <w:rPr>
          <w:rFonts w:ascii="宋体" w:hAnsi="宋体" w:eastAsia="宋体"/>
          <w:sz w:val="21"/>
          <w:szCs w:val="21"/>
          <w:highlight w:val="none"/>
        </w:rPr>
      </w:pPr>
      <w:r>
        <w:rPr>
          <w:rFonts w:ascii="宋体" w:hAnsi="宋体" w:eastAsia="宋体"/>
          <w:sz w:val="21"/>
          <w:szCs w:val="21"/>
          <w:highlight w:val="none"/>
        </w:rPr>
      </w:r>
      <w:r/>
    </w:p>
    <w:p>
      <w:pPr>
        <w:pStyle w:val="705"/>
        <w:ind w:left="2800"/>
        <w:jc w:val="both"/>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投标人（盖章）：</w:t>
      </w:r>
      <w:r/>
    </w:p>
    <w:p>
      <w:pPr>
        <w:pStyle w:val="705"/>
        <w:ind w:left="2800"/>
        <w:jc w:val="both"/>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投标人法定代表或其授权人：（签字或盖章）：</w:t>
      </w:r>
      <w:r/>
    </w:p>
    <w:p>
      <w:pPr>
        <w:pStyle w:val="705"/>
        <w:ind w:left="2800"/>
        <w:jc w:val="both"/>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日期：年    月    日</w:t>
      </w:r>
      <w:r/>
    </w:p>
    <w:p>
      <w:pPr>
        <w:pStyle w:val="939"/>
        <w:jc w:val="left"/>
        <w:spacing w:line="360" w:lineRule="auto"/>
        <w:rPr>
          <w:rFonts w:hAnsi="宋体" w:eastAsia="宋体"/>
          <w:b/>
          <w:sz w:val="21"/>
          <w:szCs w:val="21"/>
          <w:highlight w:val="none"/>
        </w:rPr>
      </w:pPr>
      <w:r>
        <w:rPr>
          <w:rFonts w:hint="eastAsia" w:hAnsi="宋体" w:eastAsia="宋体"/>
          <w:sz w:val="21"/>
          <w:szCs w:val="21"/>
          <w:highlight w:val="none"/>
        </w:rPr>
        <w:br w:type="page" w:clear="all"/>
      </w:r>
      <w:r>
        <w:rPr>
          <w:rFonts w:hint="eastAsia" w:hAnsi="宋体" w:eastAsia="宋体"/>
          <w:b/>
          <w:sz w:val="21"/>
          <w:szCs w:val="21"/>
          <w:highlight w:val="none"/>
        </w:rPr>
        <w:t xml:space="preserve">2、投标人情况表</w:t>
      </w:r>
      <w:r/>
    </w:p>
    <w:p>
      <w:pPr>
        <w:pStyle w:val="705"/>
        <w:ind w:firstLine="0"/>
        <w:jc w:val="center"/>
        <w:rPr>
          <w:rFonts w:ascii="宋体" w:hAnsi="宋体" w:eastAsia="宋体"/>
          <w:b/>
          <w:sz w:val="30"/>
          <w:szCs w:val="30"/>
          <w:highlight w:val="none"/>
        </w:rPr>
      </w:pPr>
      <w:r>
        <w:rPr>
          <w:rFonts w:hint="eastAsia" w:ascii="宋体" w:hAnsi="宋体" w:eastAsia="宋体"/>
          <w:b/>
          <w:sz w:val="30"/>
          <w:szCs w:val="30"/>
          <w:highlight w:val="none"/>
        </w:rPr>
        <w:t xml:space="preserve">供应商情况表</w:t>
      </w:r>
      <w:r/>
    </w:p>
    <w:p>
      <w:pPr>
        <w:pStyle w:val="705"/>
        <w:rPr>
          <w:rFonts w:ascii="宋体" w:hAnsi="宋体" w:eastAsia="宋体"/>
          <w:sz w:val="21"/>
          <w:szCs w:val="21"/>
          <w:highlight w:val="none"/>
        </w:rPr>
      </w:pPr>
      <w:r>
        <w:rPr>
          <w:rFonts w:ascii="宋体" w:hAnsi="宋体" w:eastAsia="宋体"/>
          <w:sz w:val="21"/>
          <w:szCs w:val="21"/>
          <w:highlight w:val="none"/>
        </w:rPr>
      </w:r>
      <w:r/>
    </w:p>
    <w:p>
      <w:pPr>
        <w:pStyle w:val="705"/>
        <w:rPr>
          <w:rFonts w:ascii="宋体" w:hAnsi="宋体" w:eastAsia="宋体"/>
          <w:b/>
          <w:sz w:val="21"/>
          <w:szCs w:val="21"/>
          <w:highlight w:val="none"/>
        </w:rPr>
      </w:pPr>
      <w:r>
        <w:rPr>
          <w:rFonts w:ascii="宋体" w:hAnsi="宋体" w:eastAsia="宋体"/>
          <w:b/>
          <w:sz w:val="21"/>
          <w:szCs w:val="21"/>
          <w:highlight w:val="none"/>
        </w:rPr>
      </w:r>
      <w:r/>
    </w:p>
    <w:tbl>
      <w:tblPr>
        <w:tblStyle w:val="701"/>
        <w:tblW w:w="90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446"/>
        </w:trPr>
        <w:tc>
          <w:tcPr>
            <w:tcW w:w="2552" w:type="dxa"/>
            <w:vAlign w:val="center"/>
            <w:textDirection w:val="lrTb"/>
            <w:noWrap w:val="false"/>
          </w:tcPr>
          <w:p>
            <w:pPr>
              <w:pStyle w:val="705"/>
              <w:ind w:firstLine="0"/>
              <w:rPr>
                <w:rFonts w:ascii="宋体" w:hAnsi="宋体" w:eastAsia="宋体"/>
                <w:sz w:val="21"/>
                <w:szCs w:val="21"/>
                <w:highlight w:val="none"/>
              </w:rPr>
            </w:pPr>
            <w:r>
              <w:rPr>
                <w:rFonts w:hint="eastAsia" w:ascii="宋体" w:hAnsi="宋体" w:eastAsia="宋体"/>
                <w:sz w:val="21"/>
                <w:szCs w:val="21"/>
                <w:highlight w:val="none"/>
              </w:rPr>
              <w:t xml:space="preserve">法定代表人（负责人）</w:t>
            </w:r>
            <w:r/>
          </w:p>
        </w:tc>
        <w:tc>
          <w:tcPr>
            <w:tcW w:w="2268" w:type="dxa"/>
            <w:textDirection w:val="lrTb"/>
            <w:noWrap w:val="false"/>
          </w:tcPr>
          <w:p>
            <w:pPr>
              <w:pStyle w:val="705"/>
              <w:ind w:firstLine="0"/>
              <w:rPr>
                <w:rFonts w:ascii="宋体" w:hAnsi="宋体" w:eastAsia="宋体"/>
                <w:sz w:val="21"/>
                <w:szCs w:val="21"/>
                <w:highlight w:val="none"/>
              </w:rPr>
            </w:pPr>
            <w:r>
              <w:rPr>
                <w:rFonts w:ascii="宋体" w:hAnsi="宋体" w:eastAsia="宋体"/>
                <w:sz w:val="21"/>
                <w:szCs w:val="21"/>
                <w:highlight w:val="none"/>
              </w:rPr>
            </w:r>
            <w:r/>
          </w:p>
        </w:tc>
        <w:tc>
          <w:tcPr>
            <w:tcW w:w="1559" w:type="dxa"/>
            <w:textDirection w:val="lrTb"/>
            <w:noWrap w:val="false"/>
          </w:tcPr>
          <w:p>
            <w:pPr>
              <w:pStyle w:val="705"/>
              <w:ind w:firstLine="0"/>
              <w:rPr>
                <w:rFonts w:ascii="宋体" w:hAnsi="宋体" w:eastAsia="宋体"/>
                <w:sz w:val="21"/>
                <w:szCs w:val="21"/>
                <w:highlight w:val="none"/>
              </w:rPr>
            </w:pPr>
            <w:r>
              <w:rPr>
                <w:rFonts w:hint="eastAsia" w:ascii="宋体" w:hAnsi="宋体" w:eastAsia="宋体"/>
                <w:sz w:val="21"/>
                <w:szCs w:val="21"/>
                <w:highlight w:val="none"/>
              </w:rPr>
              <w:t xml:space="preserve">成立日期</w:t>
            </w:r>
            <w:r/>
          </w:p>
        </w:tc>
        <w:tc>
          <w:tcPr>
            <w:tcW w:w="2694" w:type="dxa"/>
            <w:textDirection w:val="lrTb"/>
            <w:noWrap w:val="false"/>
          </w:tcPr>
          <w:p>
            <w:pPr>
              <w:pStyle w:val="705"/>
              <w:ind w:firstLine="0"/>
              <w:rPr>
                <w:rFonts w:ascii="宋体" w:hAnsi="宋体" w:eastAsia="宋体"/>
                <w:sz w:val="21"/>
                <w:szCs w:val="21"/>
                <w:highlight w:val="none"/>
              </w:rPr>
            </w:pPr>
            <w:r>
              <w:rPr>
                <w:rFonts w:ascii="宋体" w:hAnsi="宋体" w:eastAsia="宋体"/>
                <w:sz w:val="21"/>
                <w:szCs w:val="21"/>
                <w:highlight w:val="none"/>
              </w:rPr>
            </w:r>
            <w:r/>
          </w:p>
        </w:tc>
      </w:tr>
      <w:tr>
        <w:trPr>
          <w:cantSplit/>
          <w:jc w:val="center"/>
          <w:trHeight w:val="470"/>
        </w:trPr>
        <w:tc>
          <w:tcPr>
            <w:tcW w:w="2552" w:type="dxa"/>
            <w:vAlign w:val="center"/>
            <w:textDirection w:val="lrTb"/>
            <w:noWrap w:val="false"/>
          </w:tcPr>
          <w:p>
            <w:pPr>
              <w:pStyle w:val="705"/>
              <w:ind w:firstLine="0"/>
              <w:rPr>
                <w:rFonts w:ascii="宋体" w:hAnsi="宋体" w:eastAsia="宋体"/>
                <w:sz w:val="21"/>
                <w:szCs w:val="21"/>
                <w:highlight w:val="none"/>
              </w:rPr>
            </w:pPr>
            <w:r>
              <w:rPr>
                <w:rFonts w:hint="eastAsia" w:ascii="宋体" w:hAnsi="宋体" w:eastAsia="宋体"/>
                <w:sz w:val="21"/>
                <w:szCs w:val="21"/>
                <w:highlight w:val="none"/>
              </w:rPr>
              <w:t xml:space="preserve">注册地址</w:t>
            </w:r>
            <w:r/>
          </w:p>
        </w:tc>
        <w:tc>
          <w:tcPr>
            <w:tcW w:w="2268" w:type="dxa"/>
            <w:textDirection w:val="lrTb"/>
            <w:noWrap w:val="false"/>
          </w:tcPr>
          <w:p>
            <w:pPr>
              <w:pStyle w:val="705"/>
              <w:ind w:firstLine="0"/>
              <w:rPr>
                <w:rFonts w:ascii="宋体" w:hAnsi="宋体" w:eastAsia="宋体"/>
                <w:sz w:val="21"/>
                <w:szCs w:val="21"/>
                <w:highlight w:val="none"/>
              </w:rPr>
            </w:pPr>
            <w:r>
              <w:rPr>
                <w:rFonts w:ascii="宋体" w:hAnsi="宋体" w:eastAsia="宋体"/>
                <w:sz w:val="21"/>
                <w:szCs w:val="21"/>
                <w:highlight w:val="none"/>
              </w:rPr>
            </w:r>
            <w:r/>
          </w:p>
        </w:tc>
        <w:tc>
          <w:tcPr>
            <w:tcW w:w="1559" w:type="dxa"/>
            <w:textDirection w:val="lrTb"/>
            <w:noWrap w:val="false"/>
          </w:tcPr>
          <w:p>
            <w:pPr>
              <w:pStyle w:val="705"/>
              <w:ind w:firstLine="0"/>
              <w:rPr>
                <w:rFonts w:ascii="宋体" w:hAnsi="宋体" w:eastAsia="宋体"/>
                <w:sz w:val="21"/>
                <w:szCs w:val="21"/>
                <w:highlight w:val="none"/>
              </w:rPr>
            </w:pPr>
            <w:r>
              <w:rPr>
                <w:rFonts w:hint="eastAsia" w:ascii="宋体" w:hAnsi="宋体" w:eastAsia="宋体"/>
                <w:sz w:val="21"/>
                <w:szCs w:val="21"/>
                <w:highlight w:val="none"/>
              </w:rPr>
              <w:t xml:space="preserve">注册资金</w:t>
            </w:r>
            <w:r/>
          </w:p>
        </w:tc>
        <w:tc>
          <w:tcPr>
            <w:tcW w:w="2694" w:type="dxa"/>
            <w:textDirection w:val="lrTb"/>
            <w:noWrap w:val="false"/>
          </w:tcPr>
          <w:p>
            <w:pPr>
              <w:pStyle w:val="705"/>
              <w:ind w:firstLine="2160"/>
              <w:rPr>
                <w:rFonts w:ascii="宋体" w:hAnsi="宋体" w:eastAsia="宋体"/>
                <w:sz w:val="21"/>
                <w:szCs w:val="21"/>
                <w:highlight w:val="none"/>
              </w:rPr>
            </w:pPr>
            <w:r>
              <w:rPr>
                <w:rFonts w:ascii="宋体" w:hAnsi="宋体" w:eastAsia="宋体"/>
                <w:sz w:val="21"/>
                <w:szCs w:val="21"/>
                <w:highlight w:val="none"/>
              </w:rPr>
            </w:r>
            <w:r/>
          </w:p>
        </w:tc>
      </w:tr>
      <w:tr>
        <w:trPr>
          <w:cantSplit/>
          <w:jc w:val="center"/>
          <w:trHeight w:val="492"/>
        </w:trPr>
        <w:tc>
          <w:tcPr>
            <w:tcW w:w="2552" w:type="dxa"/>
            <w:vAlign w:val="center"/>
            <w:textDirection w:val="lrTb"/>
            <w:noWrap w:val="false"/>
          </w:tcPr>
          <w:p>
            <w:pPr>
              <w:pStyle w:val="705"/>
              <w:ind w:firstLine="0"/>
              <w:rPr>
                <w:rFonts w:ascii="宋体" w:hAnsi="宋体" w:eastAsia="宋体"/>
                <w:sz w:val="21"/>
                <w:szCs w:val="21"/>
                <w:highlight w:val="none"/>
              </w:rPr>
            </w:pPr>
            <w:r>
              <w:rPr>
                <w:rFonts w:hint="eastAsia" w:ascii="宋体" w:hAnsi="宋体" w:eastAsia="宋体"/>
                <w:sz w:val="21"/>
                <w:szCs w:val="21"/>
                <w:highlight w:val="none"/>
              </w:rPr>
              <w:t xml:space="preserve">经营范围</w:t>
            </w:r>
            <w:r/>
          </w:p>
        </w:tc>
        <w:tc>
          <w:tcPr>
            <w:gridSpan w:val="3"/>
            <w:tcW w:w="6521" w:type="dxa"/>
            <w:textDirection w:val="lrTb"/>
            <w:noWrap w:val="false"/>
          </w:tcPr>
          <w:p>
            <w:pPr>
              <w:pStyle w:val="705"/>
              <w:ind w:firstLine="0"/>
              <w:rPr>
                <w:rFonts w:ascii="宋体" w:hAnsi="宋体" w:eastAsia="宋体"/>
                <w:sz w:val="21"/>
                <w:szCs w:val="21"/>
                <w:highlight w:val="none"/>
              </w:rPr>
            </w:pPr>
            <w:r>
              <w:rPr>
                <w:rFonts w:ascii="宋体" w:hAnsi="宋体" w:eastAsia="宋体"/>
                <w:sz w:val="21"/>
                <w:szCs w:val="21"/>
                <w:highlight w:val="none"/>
              </w:rPr>
            </w:r>
            <w:r/>
          </w:p>
        </w:tc>
      </w:tr>
      <w:tr>
        <w:trPr>
          <w:cantSplit/>
          <w:jc w:val="center"/>
          <w:trHeight w:val="572"/>
        </w:trPr>
        <w:tc>
          <w:tcPr>
            <w:tcW w:w="2552" w:type="dxa"/>
            <w:vAlign w:val="center"/>
            <w:textDirection w:val="lrTb"/>
            <w:noWrap w:val="false"/>
          </w:tcPr>
          <w:p>
            <w:pPr>
              <w:pStyle w:val="705"/>
              <w:ind w:firstLine="0"/>
              <w:rPr>
                <w:rFonts w:ascii="宋体" w:hAnsi="宋体" w:eastAsia="宋体"/>
                <w:sz w:val="21"/>
                <w:szCs w:val="21"/>
                <w:highlight w:val="none"/>
              </w:rPr>
            </w:pPr>
            <w:r>
              <w:rPr>
                <w:rFonts w:hint="eastAsia" w:ascii="宋体" w:hAnsi="宋体" w:eastAsia="宋体"/>
                <w:sz w:val="21"/>
                <w:szCs w:val="21"/>
                <w:highlight w:val="none"/>
              </w:rPr>
              <w:t xml:space="preserve">企业资质等级</w:t>
            </w:r>
            <w:r/>
          </w:p>
        </w:tc>
        <w:tc>
          <w:tcPr>
            <w:tcW w:w="2268" w:type="dxa"/>
            <w:vAlign w:val="bottom"/>
            <w:textDirection w:val="lrTb"/>
            <w:noWrap w:val="false"/>
          </w:tcPr>
          <w:p>
            <w:pPr>
              <w:pStyle w:val="705"/>
              <w:ind w:firstLine="0"/>
              <w:rPr>
                <w:rFonts w:ascii="宋体" w:hAnsi="宋体" w:eastAsia="宋体"/>
                <w:sz w:val="21"/>
                <w:szCs w:val="21"/>
                <w:highlight w:val="none"/>
              </w:rPr>
            </w:pPr>
            <w:r>
              <w:rPr>
                <w:rFonts w:ascii="宋体" w:hAnsi="宋体" w:eastAsia="宋体"/>
                <w:sz w:val="21"/>
                <w:szCs w:val="21"/>
                <w:highlight w:val="none"/>
              </w:rPr>
            </w:r>
            <w:r/>
          </w:p>
        </w:tc>
        <w:tc>
          <w:tcPr>
            <w:tcW w:w="1559" w:type="dxa"/>
            <w:vAlign w:val="center"/>
            <w:textDirection w:val="lrTb"/>
            <w:noWrap w:val="false"/>
          </w:tcPr>
          <w:p>
            <w:pPr>
              <w:pStyle w:val="705"/>
              <w:ind w:firstLine="0"/>
              <w:rPr>
                <w:rFonts w:ascii="宋体" w:hAnsi="宋体" w:eastAsia="宋体"/>
                <w:sz w:val="21"/>
                <w:szCs w:val="21"/>
                <w:highlight w:val="none"/>
              </w:rPr>
            </w:pPr>
            <w:r>
              <w:rPr>
                <w:rFonts w:hint="eastAsia" w:ascii="宋体" w:hAnsi="宋体" w:eastAsia="宋体"/>
                <w:sz w:val="21"/>
                <w:szCs w:val="21"/>
                <w:highlight w:val="none"/>
              </w:rPr>
              <w:t xml:space="preserve">员工总人数</w:t>
            </w:r>
            <w:r/>
          </w:p>
        </w:tc>
        <w:tc>
          <w:tcPr>
            <w:tcW w:w="2694" w:type="dxa"/>
            <w:vAlign w:val="bottom"/>
            <w:textDirection w:val="lrTb"/>
            <w:noWrap w:val="false"/>
          </w:tcPr>
          <w:p>
            <w:pPr>
              <w:pStyle w:val="705"/>
              <w:ind w:firstLine="0"/>
              <w:rPr>
                <w:rFonts w:ascii="宋体" w:hAnsi="宋体" w:eastAsia="宋体"/>
                <w:sz w:val="21"/>
                <w:szCs w:val="21"/>
                <w:highlight w:val="none"/>
              </w:rPr>
            </w:pPr>
            <w:r>
              <w:rPr>
                <w:rFonts w:ascii="宋体" w:hAnsi="宋体" w:eastAsia="宋体"/>
                <w:sz w:val="21"/>
                <w:szCs w:val="21"/>
                <w:highlight w:val="none"/>
              </w:rPr>
            </w:r>
            <w:r/>
          </w:p>
        </w:tc>
      </w:tr>
      <w:tr>
        <w:trPr>
          <w:cantSplit/>
          <w:jc w:val="center"/>
          <w:trHeight w:val="570"/>
        </w:trPr>
        <w:tc>
          <w:tcPr>
            <w:tcW w:w="2552" w:type="dxa"/>
            <w:vAlign w:val="center"/>
            <w:textDirection w:val="lrTb"/>
            <w:noWrap w:val="false"/>
          </w:tcPr>
          <w:p>
            <w:pPr>
              <w:pStyle w:val="705"/>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资产总计</w:t>
            </w:r>
            <w:r/>
          </w:p>
        </w:tc>
        <w:tc>
          <w:tcPr>
            <w:tcW w:w="2268" w:type="dxa"/>
            <w:vAlign w:val="center"/>
            <w:textDirection w:val="lrTb"/>
            <w:noWrap w:val="false"/>
          </w:tcPr>
          <w:p>
            <w:pPr>
              <w:pStyle w:val="705"/>
              <w:ind w:firstLine="1155"/>
              <w:jc w:val="center"/>
              <w:rPr>
                <w:rFonts w:ascii="宋体" w:hAnsi="宋体" w:eastAsia="宋体"/>
                <w:sz w:val="21"/>
                <w:szCs w:val="21"/>
                <w:highlight w:val="none"/>
              </w:rPr>
            </w:pPr>
            <w:r>
              <w:rPr>
                <w:rFonts w:hint="eastAsia" w:ascii="宋体" w:hAnsi="宋体" w:eastAsia="宋体"/>
                <w:sz w:val="21"/>
                <w:szCs w:val="21"/>
                <w:highlight w:val="none"/>
              </w:rPr>
              <w:t xml:space="preserve">万元</w:t>
            </w:r>
            <w:r/>
          </w:p>
        </w:tc>
        <w:tc>
          <w:tcPr>
            <w:tcW w:w="1559" w:type="dxa"/>
            <w:vAlign w:val="center"/>
            <w:textDirection w:val="lrTb"/>
            <w:noWrap w:val="false"/>
          </w:tcPr>
          <w:p>
            <w:pPr>
              <w:pStyle w:val="705"/>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营业收入</w:t>
            </w:r>
            <w:r/>
          </w:p>
        </w:tc>
        <w:tc>
          <w:tcPr>
            <w:tcW w:w="2694" w:type="dxa"/>
            <w:vAlign w:val="center"/>
            <w:textDirection w:val="lrTb"/>
            <w:noWrap w:val="false"/>
          </w:tcPr>
          <w:p>
            <w:pPr>
              <w:pStyle w:val="705"/>
              <w:ind w:firstLine="315"/>
              <w:jc w:val="center"/>
              <w:rPr>
                <w:rFonts w:ascii="宋体" w:hAnsi="宋体" w:eastAsia="宋体"/>
                <w:sz w:val="21"/>
                <w:szCs w:val="21"/>
                <w:highlight w:val="none"/>
              </w:rPr>
            </w:pPr>
            <w:r>
              <w:rPr>
                <w:rFonts w:hint="eastAsia" w:ascii="宋体" w:hAnsi="宋体" w:eastAsia="宋体"/>
                <w:sz w:val="21"/>
                <w:szCs w:val="21"/>
                <w:highlight w:val="none"/>
              </w:rPr>
              <w:t xml:space="preserve">年   万元</w:t>
            </w:r>
            <w:r/>
          </w:p>
        </w:tc>
      </w:tr>
      <w:tr>
        <w:trPr>
          <w:cantSplit/>
          <w:jc w:val="center"/>
        </w:trPr>
        <w:tc>
          <w:tcPr>
            <w:tcW w:w="2552" w:type="dxa"/>
            <w:vAlign w:val="center"/>
            <w:textDirection w:val="lrTb"/>
            <w:noWrap w:val="false"/>
          </w:tcPr>
          <w:p>
            <w:pPr>
              <w:pStyle w:val="705"/>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实现利润</w:t>
            </w:r>
            <w:r/>
          </w:p>
        </w:tc>
        <w:tc>
          <w:tcPr>
            <w:tcW w:w="2268" w:type="dxa"/>
            <w:vAlign w:val="center"/>
            <w:textDirection w:val="lrTb"/>
            <w:noWrap w:val="false"/>
          </w:tcPr>
          <w:p>
            <w:pPr>
              <w:pStyle w:val="705"/>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年  万元</w:t>
            </w:r>
            <w:r/>
          </w:p>
        </w:tc>
        <w:tc>
          <w:tcPr>
            <w:tcW w:w="1559" w:type="dxa"/>
            <w:vAlign w:val="center"/>
            <w:textDirection w:val="lrTb"/>
            <w:noWrap w:val="false"/>
          </w:tcPr>
          <w:p>
            <w:pPr>
              <w:pStyle w:val="705"/>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营业面积（含厂房面积）</w:t>
            </w:r>
            <w:r/>
          </w:p>
        </w:tc>
        <w:tc>
          <w:tcPr>
            <w:tcW w:w="2694" w:type="dxa"/>
            <w:vAlign w:val="center"/>
            <w:textDirection w:val="lrTb"/>
            <w:noWrap w:val="false"/>
          </w:tcPr>
          <w:p>
            <w:pPr>
              <w:pStyle w:val="705"/>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平方米</w:t>
            </w:r>
            <w:r/>
          </w:p>
        </w:tc>
      </w:tr>
      <w:tr>
        <w:trPr>
          <w:cantSplit/>
          <w:jc w:val="center"/>
          <w:trHeight w:val="597"/>
        </w:trPr>
        <w:tc>
          <w:tcPr>
            <w:tcW w:w="2552" w:type="dxa"/>
            <w:vAlign w:val="center"/>
            <w:textDirection w:val="lrTb"/>
            <w:noWrap w:val="false"/>
          </w:tcPr>
          <w:p>
            <w:pPr>
              <w:pStyle w:val="705"/>
              <w:ind w:firstLine="0"/>
              <w:rPr>
                <w:rFonts w:ascii="宋体" w:hAnsi="宋体" w:eastAsia="宋体"/>
                <w:sz w:val="21"/>
                <w:szCs w:val="21"/>
                <w:highlight w:val="none"/>
              </w:rPr>
            </w:pPr>
            <w:r>
              <w:rPr>
                <w:rFonts w:hint="eastAsia" w:ascii="宋体" w:hAnsi="宋体" w:eastAsia="宋体"/>
                <w:sz w:val="21"/>
                <w:szCs w:val="21"/>
                <w:highlight w:val="none"/>
              </w:rPr>
              <w:t xml:space="preserve">单位简历及内设机构情况</w:t>
            </w:r>
            <w:r/>
          </w:p>
        </w:tc>
        <w:tc>
          <w:tcPr>
            <w:gridSpan w:val="3"/>
            <w:tcW w:w="6521" w:type="dxa"/>
            <w:textDirection w:val="lrTb"/>
            <w:noWrap w:val="false"/>
          </w:tcPr>
          <w:p>
            <w:pPr>
              <w:pStyle w:val="705"/>
              <w:ind w:firstLine="0"/>
              <w:rPr>
                <w:rFonts w:ascii="宋体" w:hAnsi="宋体" w:eastAsia="宋体"/>
                <w:sz w:val="21"/>
                <w:szCs w:val="21"/>
                <w:highlight w:val="none"/>
              </w:rPr>
            </w:pPr>
            <w:r>
              <w:rPr>
                <w:rFonts w:ascii="宋体" w:hAnsi="宋体" w:eastAsia="宋体"/>
                <w:sz w:val="21"/>
                <w:szCs w:val="21"/>
                <w:highlight w:val="none"/>
              </w:rPr>
            </w:r>
            <w:r/>
          </w:p>
        </w:tc>
      </w:tr>
      <w:tr>
        <w:trPr>
          <w:cantSplit/>
          <w:jc w:val="center"/>
          <w:trHeight w:val="578"/>
        </w:trPr>
        <w:tc>
          <w:tcPr>
            <w:tcW w:w="2552" w:type="dxa"/>
            <w:vAlign w:val="center"/>
            <w:textDirection w:val="lrTb"/>
            <w:noWrap w:val="false"/>
          </w:tcPr>
          <w:p>
            <w:pPr>
              <w:pStyle w:val="705"/>
              <w:ind w:firstLine="0"/>
              <w:rPr>
                <w:rFonts w:ascii="宋体" w:hAnsi="宋体" w:eastAsia="宋体"/>
                <w:sz w:val="21"/>
                <w:szCs w:val="21"/>
                <w:highlight w:val="none"/>
              </w:rPr>
            </w:pPr>
            <w:r>
              <w:rPr>
                <w:rFonts w:hint="eastAsia" w:ascii="宋体" w:hAnsi="宋体" w:eastAsia="宋体"/>
                <w:sz w:val="21"/>
                <w:szCs w:val="21"/>
                <w:highlight w:val="none"/>
              </w:rPr>
              <w:t xml:space="preserve">单位优势及特长</w:t>
            </w:r>
            <w:r/>
          </w:p>
        </w:tc>
        <w:tc>
          <w:tcPr>
            <w:gridSpan w:val="3"/>
            <w:tcW w:w="6521" w:type="dxa"/>
            <w:textDirection w:val="lrTb"/>
            <w:noWrap w:val="false"/>
          </w:tcPr>
          <w:p>
            <w:pPr>
              <w:pStyle w:val="705"/>
              <w:ind w:firstLine="0"/>
              <w:rPr>
                <w:rFonts w:ascii="宋体" w:hAnsi="宋体" w:eastAsia="宋体"/>
                <w:sz w:val="21"/>
                <w:szCs w:val="21"/>
                <w:highlight w:val="none"/>
              </w:rPr>
            </w:pPr>
            <w:r>
              <w:rPr>
                <w:rFonts w:ascii="宋体" w:hAnsi="宋体" w:eastAsia="宋体"/>
                <w:sz w:val="21"/>
                <w:szCs w:val="21"/>
                <w:highlight w:val="none"/>
              </w:rPr>
            </w:r>
            <w:r/>
          </w:p>
        </w:tc>
      </w:tr>
      <w:tr>
        <w:trPr>
          <w:cantSplit/>
          <w:jc w:val="center"/>
          <w:trHeight w:val="681"/>
        </w:trPr>
        <w:tc>
          <w:tcPr>
            <w:tcW w:w="2552" w:type="dxa"/>
            <w:vAlign w:val="center"/>
            <w:textDirection w:val="lrTb"/>
            <w:noWrap w:val="false"/>
          </w:tcPr>
          <w:p>
            <w:pPr>
              <w:pStyle w:val="705"/>
              <w:ind w:firstLine="0"/>
              <w:rPr>
                <w:rFonts w:ascii="宋体" w:hAnsi="宋体" w:eastAsia="宋体"/>
                <w:sz w:val="21"/>
                <w:szCs w:val="21"/>
                <w:highlight w:val="none"/>
              </w:rPr>
            </w:pPr>
            <w:r>
              <w:rPr>
                <w:rFonts w:hint="eastAsia" w:ascii="宋体" w:hAnsi="宋体" w:eastAsia="宋体"/>
                <w:sz w:val="21"/>
                <w:szCs w:val="21"/>
                <w:highlight w:val="none"/>
              </w:rPr>
              <w:t xml:space="preserve">商业信誉和健全的财务会计制度介绍</w:t>
            </w:r>
            <w:r/>
          </w:p>
        </w:tc>
        <w:tc>
          <w:tcPr>
            <w:gridSpan w:val="3"/>
            <w:tcW w:w="6521" w:type="dxa"/>
            <w:textDirection w:val="lrTb"/>
            <w:noWrap w:val="false"/>
          </w:tcPr>
          <w:p>
            <w:pPr>
              <w:pStyle w:val="705"/>
              <w:ind w:firstLine="0"/>
              <w:rPr>
                <w:rFonts w:ascii="宋体" w:hAnsi="宋体" w:eastAsia="宋体"/>
                <w:sz w:val="21"/>
                <w:szCs w:val="21"/>
                <w:highlight w:val="none"/>
              </w:rPr>
            </w:pPr>
            <w:r>
              <w:rPr>
                <w:rFonts w:ascii="宋体" w:hAnsi="宋体" w:eastAsia="宋体"/>
                <w:sz w:val="21"/>
                <w:szCs w:val="21"/>
                <w:highlight w:val="none"/>
              </w:rPr>
            </w:r>
            <w:r/>
          </w:p>
        </w:tc>
      </w:tr>
      <w:tr>
        <w:trPr>
          <w:cantSplit/>
          <w:jc w:val="center"/>
          <w:trHeight w:val="851"/>
        </w:trPr>
        <w:tc>
          <w:tcPr>
            <w:tcW w:w="2552" w:type="dxa"/>
            <w:vAlign w:val="center"/>
            <w:textDirection w:val="lrTb"/>
            <w:noWrap w:val="false"/>
          </w:tcPr>
          <w:p>
            <w:pPr>
              <w:pStyle w:val="705"/>
              <w:ind w:firstLine="0"/>
              <w:rPr>
                <w:rFonts w:ascii="宋体" w:hAnsi="宋体" w:eastAsia="宋体"/>
                <w:sz w:val="21"/>
                <w:szCs w:val="21"/>
                <w:highlight w:val="none"/>
              </w:rPr>
            </w:pPr>
            <w:r>
              <w:rPr>
                <w:rFonts w:hint="eastAsia" w:ascii="宋体" w:hAnsi="宋体" w:eastAsia="宋体"/>
                <w:sz w:val="21"/>
                <w:szCs w:val="21"/>
                <w:highlight w:val="none"/>
              </w:rPr>
              <w:t xml:space="preserve">履行合同所必需的设备和专业技术能力情况</w:t>
            </w:r>
            <w:r/>
          </w:p>
        </w:tc>
        <w:tc>
          <w:tcPr>
            <w:gridSpan w:val="3"/>
            <w:tcW w:w="6521" w:type="dxa"/>
            <w:textDirection w:val="lrTb"/>
            <w:noWrap w:val="false"/>
          </w:tcPr>
          <w:p>
            <w:pPr>
              <w:pStyle w:val="705"/>
              <w:ind w:firstLine="0"/>
              <w:rPr>
                <w:rFonts w:ascii="宋体" w:hAnsi="宋体" w:eastAsia="宋体"/>
                <w:sz w:val="21"/>
                <w:szCs w:val="21"/>
                <w:highlight w:val="none"/>
              </w:rPr>
            </w:pPr>
            <w:r>
              <w:rPr>
                <w:rFonts w:ascii="宋体" w:hAnsi="宋体" w:eastAsia="宋体"/>
                <w:sz w:val="21"/>
                <w:szCs w:val="21"/>
                <w:highlight w:val="none"/>
              </w:rPr>
            </w:r>
            <w:r/>
          </w:p>
        </w:tc>
      </w:tr>
      <w:tr>
        <w:trPr>
          <w:cantSplit/>
          <w:jc w:val="center"/>
          <w:trHeight w:val="748"/>
        </w:trPr>
        <w:tc>
          <w:tcPr>
            <w:tcW w:w="2552" w:type="dxa"/>
            <w:vAlign w:val="center"/>
            <w:textDirection w:val="lrTb"/>
            <w:noWrap w:val="false"/>
          </w:tcPr>
          <w:p>
            <w:pPr>
              <w:pStyle w:val="705"/>
              <w:ind w:firstLine="0"/>
              <w:rPr>
                <w:rFonts w:ascii="宋体" w:hAnsi="宋体" w:eastAsia="宋体"/>
                <w:sz w:val="21"/>
                <w:szCs w:val="21"/>
                <w:highlight w:val="none"/>
              </w:rPr>
            </w:pPr>
            <w:r>
              <w:rPr>
                <w:rFonts w:hint="eastAsia" w:ascii="宋体" w:hAnsi="宋体" w:eastAsia="宋体"/>
                <w:sz w:val="21"/>
                <w:szCs w:val="21"/>
                <w:highlight w:val="none"/>
              </w:rPr>
              <w:t xml:space="preserve">依法缴纳税收和社会保障资金情况</w:t>
            </w:r>
            <w:r/>
          </w:p>
        </w:tc>
        <w:tc>
          <w:tcPr>
            <w:gridSpan w:val="3"/>
            <w:tcW w:w="6521" w:type="dxa"/>
            <w:textDirection w:val="lrTb"/>
            <w:noWrap w:val="false"/>
          </w:tcPr>
          <w:p>
            <w:pPr>
              <w:pStyle w:val="705"/>
              <w:ind w:firstLine="0"/>
              <w:rPr>
                <w:rFonts w:ascii="宋体" w:hAnsi="宋体" w:eastAsia="宋体"/>
                <w:sz w:val="21"/>
                <w:szCs w:val="21"/>
                <w:highlight w:val="none"/>
              </w:rPr>
            </w:pPr>
            <w:r>
              <w:rPr>
                <w:rFonts w:ascii="宋体" w:hAnsi="宋体" w:eastAsia="宋体"/>
                <w:sz w:val="21"/>
                <w:szCs w:val="21"/>
                <w:highlight w:val="none"/>
              </w:rPr>
            </w:r>
            <w:r/>
          </w:p>
        </w:tc>
      </w:tr>
      <w:tr>
        <w:trPr>
          <w:cantSplit/>
          <w:jc w:val="center"/>
          <w:trHeight w:val="1164"/>
        </w:trPr>
        <w:tc>
          <w:tcPr>
            <w:tcW w:w="2552" w:type="dxa"/>
            <w:vAlign w:val="center"/>
            <w:textDirection w:val="lrTb"/>
            <w:noWrap w:val="false"/>
          </w:tcPr>
          <w:p>
            <w:pPr>
              <w:pStyle w:val="705"/>
              <w:ind w:firstLine="0"/>
              <w:rPr>
                <w:rFonts w:ascii="宋体" w:hAnsi="宋体" w:eastAsia="宋体"/>
                <w:sz w:val="21"/>
                <w:szCs w:val="21"/>
                <w:highlight w:val="none"/>
              </w:rPr>
            </w:pPr>
            <w:r>
              <w:rPr>
                <w:rFonts w:hint="eastAsia" w:ascii="宋体" w:hAnsi="宋体" w:eastAsia="宋体"/>
                <w:sz w:val="21"/>
                <w:szCs w:val="21"/>
                <w:highlight w:val="none"/>
              </w:rPr>
              <w:t xml:space="preserve">参加政府采购活动前三年内，在经营活动中有无重大违法记录</w:t>
            </w:r>
            <w:r/>
          </w:p>
        </w:tc>
        <w:tc>
          <w:tcPr>
            <w:gridSpan w:val="3"/>
            <w:tcW w:w="6521" w:type="dxa"/>
            <w:textDirection w:val="lrTb"/>
            <w:noWrap w:val="false"/>
          </w:tcPr>
          <w:p>
            <w:pPr>
              <w:pStyle w:val="705"/>
              <w:ind w:firstLine="0"/>
              <w:rPr>
                <w:rFonts w:ascii="宋体" w:hAnsi="宋体" w:eastAsia="宋体"/>
                <w:sz w:val="21"/>
                <w:szCs w:val="21"/>
                <w:highlight w:val="none"/>
              </w:rPr>
            </w:pPr>
            <w:r>
              <w:rPr>
                <w:rFonts w:ascii="宋体" w:hAnsi="宋体" w:eastAsia="宋体"/>
                <w:sz w:val="21"/>
                <w:szCs w:val="21"/>
                <w:highlight w:val="none"/>
              </w:rPr>
            </w:r>
            <w:r/>
          </w:p>
        </w:tc>
      </w:tr>
      <w:tr>
        <w:trPr>
          <w:cantSplit/>
          <w:jc w:val="center"/>
          <w:trHeight w:val="695"/>
        </w:trPr>
        <w:tc>
          <w:tcPr>
            <w:tcW w:w="2552" w:type="dxa"/>
            <w:vAlign w:val="center"/>
            <w:textDirection w:val="lrTb"/>
            <w:noWrap w:val="false"/>
          </w:tcPr>
          <w:p>
            <w:pPr>
              <w:pStyle w:val="705"/>
              <w:ind w:firstLine="0"/>
              <w:rPr>
                <w:rFonts w:ascii="宋体" w:hAnsi="宋体" w:eastAsia="宋体"/>
                <w:sz w:val="21"/>
                <w:szCs w:val="21"/>
                <w:highlight w:val="none"/>
              </w:rPr>
            </w:pPr>
            <w:r>
              <w:rPr>
                <w:rFonts w:hint="eastAsia" w:ascii="宋体" w:hAnsi="宋体" w:eastAsia="宋体"/>
                <w:sz w:val="21"/>
                <w:szCs w:val="21"/>
                <w:highlight w:val="none"/>
              </w:rPr>
              <w:t xml:space="preserve">其他需要说明的情况</w:t>
            </w:r>
            <w:r/>
          </w:p>
        </w:tc>
        <w:tc>
          <w:tcPr>
            <w:gridSpan w:val="3"/>
            <w:tcW w:w="6521" w:type="dxa"/>
            <w:textDirection w:val="lrTb"/>
            <w:noWrap w:val="false"/>
          </w:tcPr>
          <w:p>
            <w:pPr>
              <w:pStyle w:val="705"/>
              <w:ind w:firstLine="0"/>
              <w:rPr>
                <w:rFonts w:ascii="宋体" w:hAnsi="宋体" w:eastAsia="宋体"/>
                <w:sz w:val="21"/>
                <w:szCs w:val="21"/>
                <w:highlight w:val="none"/>
              </w:rPr>
            </w:pPr>
            <w:r>
              <w:rPr>
                <w:rFonts w:ascii="宋体" w:hAnsi="宋体" w:eastAsia="宋体"/>
                <w:sz w:val="21"/>
                <w:szCs w:val="21"/>
                <w:highlight w:val="none"/>
              </w:rPr>
            </w:r>
            <w:r/>
          </w:p>
        </w:tc>
      </w:tr>
    </w:tbl>
    <w:p>
      <w:pPr>
        <w:pStyle w:val="70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投标人：（盖章）</w:t>
      </w:r>
      <w:r/>
    </w:p>
    <w:p>
      <w:pPr>
        <w:pStyle w:val="70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法定代表人或代理人：（签字或盖章）</w:t>
      </w:r>
      <w:r/>
    </w:p>
    <w:p>
      <w:pPr>
        <w:ind w:firstLine="420"/>
        <w:jc w:val="left"/>
        <w:rPr>
          <w:rFonts w:hAnsi="宋体" w:eastAsia="宋体"/>
          <w:b/>
          <w:sz w:val="21"/>
          <w:szCs w:val="21"/>
          <w:highlight w:val="none"/>
        </w:rPr>
      </w:pPr>
      <w:r>
        <w:rPr>
          <w:rFonts w:hint="eastAsia" w:ascii="宋体" w:hAnsi="宋体" w:eastAsia="宋体"/>
          <w:sz w:val="21"/>
          <w:szCs w:val="21"/>
          <w:highlight w:val="none"/>
        </w:rPr>
        <w:t xml:space="preserve">日期： </w:t>
      </w:r>
      <w:r>
        <w:rPr>
          <w:rFonts w:ascii="宋体" w:hAnsi="宋体" w:eastAsia="宋体"/>
          <w:sz w:val="21"/>
          <w:szCs w:val="21"/>
          <w:highlight w:val="none"/>
        </w:rPr>
        <w:t xml:space="preserve">   </w:t>
      </w:r>
      <w:r>
        <w:rPr>
          <w:rFonts w:hint="eastAsia" w:ascii="宋体" w:hAnsi="宋体" w:eastAsia="宋体"/>
          <w:sz w:val="21"/>
          <w:szCs w:val="21"/>
          <w:highlight w:val="none"/>
        </w:rPr>
        <w:t xml:space="preserve">年 </w:t>
      </w:r>
      <w:r>
        <w:rPr>
          <w:rFonts w:ascii="宋体" w:hAnsi="宋体" w:eastAsia="宋体"/>
          <w:sz w:val="21"/>
          <w:szCs w:val="21"/>
          <w:highlight w:val="none"/>
        </w:rPr>
        <w:t xml:space="preserve">  </w:t>
      </w:r>
      <w:r>
        <w:rPr>
          <w:rFonts w:hint="eastAsia" w:ascii="宋体" w:hAnsi="宋体" w:eastAsia="宋体"/>
          <w:sz w:val="21"/>
          <w:szCs w:val="21"/>
          <w:highlight w:val="none"/>
        </w:rPr>
        <w:t xml:space="preserve">月 </w:t>
      </w:r>
      <w:r>
        <w:rPr>
          <w:rFonts w:ascii="宋体" w:hAnsi="宋体" w:eastAsia="宋体"/>
          <w:sz w:val="21"/>
          <w:szCs w:val="21"/>
          <w:highlight w:val="none"/>
        </w:rPr>
        <w:t xml:space="preserve">  </w:t>
      </w:r>
      <w:r>
        <w:rPr>
          <w:rFonts w:hint="eastAsia" w:ascii="宋体" w:hAnsi="宋体" w:eastAsia="宋体"/>
          <w:sz w:val="21"/>
          <w:szCs w:val="21"/>
          <w:highlight w:val="none"/>
        </w:rPr>
        <w:t xml:space="preserve"> 日</w:t>
      </w:r>
      <w:r>
        <w:rPr>
          <w:rFonts w:ascii="宋体" w:hAnsi="宋体" w:eastAsia="宋体"/>
          <w:b/>
          <w:bCs/>
          <w:sz w:val="21"/>
          <w:szCs w:val="21"/>
          <w:highlight w:val="none"/>
        </w:rPr>
        <w:br w:type="page" w:clear="all"/>
      </w:r>
      <w:bookmarkStart w:id="32" w:name="_Toc142194272"/>
      <w:r>
        <w:rPr>
          <w:rFonts w:hint="eastAsia" w:hAnsi="宋体" w:eastAsia="宋体"/>
          <w:b/>
          <w:sz w:val="21"/>
          <w:szCs w:val="21"/>
          <w:highlight w:val="none"/>
        </w:rPr>
        <w:t xml:space="preserve">3、投标人与其他单位存在控股、管理关系情况表</w:t>
      </w:r>
      <w:r/>
    </w:p>
    <w:p>
      <w:pPr>
        <w:jc w:val="center"/>
        <w:spacing w:line="360" w:lineRule="auto"/>
        <w:rPr>
          <w:rFonts w:ascii="宋体" w:hAnsi="宋体" w:eastAsia="宋体"/>
          <w:b/>
          <w:sz w:val="21"/>
          <w:szCs w:val="21"/>
          <w:highlight w:val="none"/>
        </w:rPr>
      </w:pPr>
      <w:r>
        <w:rPr>
          <w:rFonts w:ascii="宋体" w:hAnsi="宋体" w:eastAsia="宋体"/>
          <w:b/>
          <w:sz w:val="21"/>
          <w:szCs w:val="21"/>
          <w:highlight w:val="none"/>
        </w:rPr>
      </w:r>
      <w:r/>
    </w:p>
    <w:p>
      <w:pPr>
        <w:jc w:val="center"/>
        <w:spacing w:line="360" w:lineRule="auto"/>
        <w:rPr>
          <w:rFonts w:ascii="宋体" w:hAnsi="宋体" w:eastAsia="宋体"/>
          <w:b/>
          <w:sz w:val="30"/>
          <w:szCs w:val="30"/>
          <w:highlight w:val="none"/>
        </w:rPr>
      </w:pPr>
      <w:r>
        <w:rPr>
          <w:rFonts w:hint="eastAsia" w:ascii="宋体" w:hAnsi="宋体" w:eastAsia="宋体"/>
          <w:b/>
          <w:sz w:val="30"/>
          <w:szCs w:val="30"/>
          <w:highlight w:val="none"/>
        </w:rPr>
        <w:t xml:space="preserve">投标人与其他单位存在控股、管理关系情况表</w:t>
      </w:r>
      <w:r/>
    </w:p>
    <w:p>
      <w:pPr>
        <w:jc w:val="center"/>
        <w:spacing w:line="360" w:lineRule="auto"/>
        <w:rPr>
          <w:rFonts w:ascii="宋体" w:hAnsi="宋体" w:eastAsia="宋体"/>
          <w:b/>
          <w:sz w:val="21"/>
          <w:szCs w:val="21"/>
          <w:highlight w:val="none"/>
        </w:rPr>
      </w:pPr>
      <w:r>
        <w:rPr>
          <w:rFonts w:ascii="宋体" w:hAnsi="宋体" w:eastAsia="宋体"/>
          <w:b/>
          <w:sz w:val="21"/>
          <w:szCs w:val="21"/>
          <w:highlight w:val="none"/>
        </w:rPr>
      </w:r>
      <w:r/>
    </w:p>
    <w:tbl>
      <w:tblPr>
        <w:tblStyle w:val="701"/>
        <w:tblW w:w="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1"/>
        <w:gridCol w:w="4935"/>
      </w:tblGrid>
      <w:tr>
        <w:trPr>
          <w:jc w:val="center"/>
          <w:trHeight w:val="637"/>
        </w:trPr>
        <w:tc>
          <w:tcPr>
            <w:tcW w:w="4671" w:type="dxa"/>
            <w:vAlign w:val="center"/>
            <w:textDirection w:val="lrTb"/>
            <w:noWrap w:val="false"/>
          </w:tcPr>
          <w:p>
            <w:pPr>
              <w:jc w:val="center"/>
              <w:rPr>
                <w:rFonts w:ascii="宋体" w:hAnsi="宋体" w:eastAsia="宋体"/>
                <w:b/>
                <w:sz w:val="21"/>
                <w:szCs w:val="21"/>
                <w:highlight w:val="none"/>
              </w:rPr>
            </w:pPr>
            <w:r>
              <w:rPr>
                <w:rFonts w:hint="eastAsia" w:ascii="宋体" w:hAnsi="宋体" w:eastAsia="宋体"/>
                <w:b/>
                <w:sz w:val="21"/>
                <w:szCs w:val="21"/>
                <w:highlight w:val="none"/>
              </w:rPr>
              <w:t xml:space="preserve">与投标人存在控股、管理关系的单位名称</w:t>
            </w:r>
            <w:r/>
          </w:p>
        </w:tc>
        <w:tc>
          <w:tcPr>
            <w:tcW w:w="4935" w:type="dxa"/>
            <w:vAlign w:val="center"/>
            <w:textDirection w:val="lrTb"/>
            <w:noWrap w:val="false"/>
          </w:tcPr>
          <w:p>
            <w:pPr>
              <w:jc w:val="center"/>
              <w:rPr>
                <w:rFonts w:ascii="宋体" w:hAnsi="宋体" w:eastAsia="宋体"/>
                <w:b/>
                <w:sz w:val="21"/>
                <w:szCs w:val="21"/>
                <w:highlight w:val="none"/>
              </w:rPr>
            </w:pPr>
            <w:r>
              <w:rPr>
                <w:rFonts w:hint="eastAsia" w:ascii="宋体" w:hAnsi="宋体" w:eastAsia="宋体"/>
                <w:b/>
                <w:sz w:val="21"/>
                <w:szCs w:val="21"/>
                <w:highlight w:val="none"/>
              </w:rPr>
              <w:t xml:space="preserve">控股、管理关系情况说明</w:t>
            </w:r>
            <w:r/>
          </w:p>
        </w:tc>
      </w:tr>
      <w:tr>
        <w:trPr>
          <w:jc w:val="center"/>
          <w:trHeight w:val="850"/>
        </w:trPr>
        <w:tc>
          <w:tcPr>
            <w:tcW w:w="4671" w:type="dxa"/>
            <w:vAlign w:val="center"/>
            <w:textDirection w:val="lrTb"/>
            <w:noWrap w:val="false"/>
          </w:tcPr>
          <w:p>
            <w:pPr>
              <w:jc w:val="center"/>
              <w:rPr>
                <w:rFonts w:ascii="宋体" w:hAnsi="宋体" w:eastAsia="宋体"/>
                <w:b/>
                <w:sz w:val="21"/>
                <w:szCs w:val="21"/>
                <w:highlight w:val="none"/>
              </w:rPr>
            </w:pPr>
            <w:r>
              <w:rPr>
                <w:rFonts w:ascii="宋体" w:hAnsi="宋体" w:eastAsia="宋体"/>
                <w:b/>
                <w:sz w:val="21"/>
                <w:szCs w:val="21"/>
                <w:highlight w:val="none"/>
              </w:rPr>
            </w:r>
            <w:r/>
          </w:p>
        </w:tc>
        <w:tc>
          <w:tcPr>
            <w:tcW w:w="4935" w:type="dxa"/>
            <w:vAlign w:val="center"/>
            <w:textDirection w:val="lrTb"/>
            <w:noWrap w:val="false"/>
          </w:tcPr>
          <w:p>
            <w:pPr>
              <w:jc w:val="center"/>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71" w:type="dxa"/>
            <w:vAlign w:val="center"/>
            <w:textDirection w:val="lrTb"/>
            <w:noWrap w:val="false"/>
          </w:tcPr>
          <w:p>
            <w:pPr>
              <w:jc w:val="center"/>
              <w:rPr>
                <w:rFonts w:ascii="宋体" w:hAnsi="宋体" w:eastAsia="宋体"/>
                <w:b/>
                <w:sz w:val="21"/>
                <w:szCs w:val="21"/>
                <w:highlight w:val="none"/>
              </w:rPr>
            </w:pPr>
            <w:r>
              <w:rPr>
                <w:rFonts w:ascii="宋体" w:hAnsi="宋体" w:eastAsia="宋体"/>
                <w:b/>
                <w:sz w:val="21"/>
                <w:szCs w:val="21"/>
                <w:highlight w:val="none"/>
              </w:rPr>
            </w:r>
            <w:r/>
          </w:p>
        </w:tc>
        <w:tc>
          <w:tcPr>
            <w:tcW w:w="4935" w:type="dxa"/>
            <w:vAlign w:val="center"/>
            <w:textDirection w:val="lrTb"/>
            <w:noWrap w:val="false"/>
          </w:tcPr>
          <w:p>
            <w:pPr>
              <w:jc w:val="center"/>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71" w:type="dxa"/>
            <w:vAlign w:val="center"/>
            <w:textDirection w:val="lrTb"/>
            <w:noWrap w:val="false"/>
          </w:tcPr>
          <w:p>
            <w:pPr>
              <w:jc w:val="center"/>
              <w:rPr>
                <w:rFonts w:ascii="宋体" w:hAnsi="宋体" w:eastAsia="宋体"/>
                <w:b/>
                <w:sz w:val="21"/>
                <w:szCs w:val="21"/>
                <w:highlight w:val="none"/>
              </w:rPr>
            </w:pPr>
            <w:r>
              <w:rPr>
                <w:rFonts w:ascii="宋体" w:hAnsi="宋体" w:eastAsia="宋体"/>
                <w:b/>
                <w:sz w:val="21"/>
                <w:szCs w:val="21"/>
                <w:highlight w:val="none"/>
              </w:rPr>
            </w:r>
            <w:r/>
          </w:p>
        </w:tc>
        <w:tc>
          <w:tcPr>
            <w:tcW w:w="4935" w:type="dxa"/>
            <w:vAlign w:val="center"/>
            <w:textDirection w:val="lrTb"/>
            <w:noWrap w:val="false"/>
          </w:tcPr>
          <w:p>
            <w:pPr>
              <w:jc w:val="center"/>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71" w:type="dxa"/>
            <w:vAlign w:val="center"/>
            <w:textDirection w:val="lrTb"/>
            <w:noWrap w:val="false"/>
          </w:tcPr>
          <w:p>
            <w:pPr>
              <w:jc w:val="center"/>
              <w:rPr>
                <w:rFonts w:ascii="宋体" w:hAnsi="宋体" w:eastAsia="宋体"/>
                <w:b/>
                <w:sz w:val="21"/>
                <w:szCs w:val="21"/>
                <w:highlight w:val="none"/>
              </w:rPr>
            </w:pPr>
            <w:r>
              <w:rPr>
                <w:rFonts w:ascii="宋体" w:hAnsi="宋体" w:eastAsia="宋体"/>
                <w:b/>
                <w:sz w:val="21"/>
                <w:szCs w:val="21"/>
                <w:highlight w:val="none"/>
              </w:rPr>
            </w:r>
            <w:r/>
          </w:p>
        </w:tc>
        <w:tc>
          <w:tcPr>
            <w:tcW w:w="4935" w:type="dxa"/>
            <w:vAlign w:val="center"/>
            <w:textDirection w:val="lrTb"/>
            <w:noWrap w:val="false"/>
          </w:tcPr>
          <w:p>
            <w:pPr>
              <w:jc w:val="center"/>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71" w:type="dxa"/>
            <w:vAlign w:val="center"/>
            <w:textDirection w:val="lrTb"/>
            <w:noWrap w:val="false"/>
          </w:tcPr>
          <w:p>
            <w:pPr>
              <w:jc w:val="center"/>
              <w:rPr>
                <w:rFonts w:ascii="宋体" w:hAnsi="宋体" w:eastAsia="宋体"/>
                <w:b/>
                <w:sz w:val="21"/>
                <w:szCs w:val="21"/>
                <w:highlight w:val="none"/>
              </w:rPr>
            </w:pPr>
            <w:r>
              <w:rPr>
                <w:rFonts w:ascii="宋体" w:hAnsi="宋体" w:eastAsia="宋体"/>
                <w:b/>
                <w:sz w:val="21"/>
                <w:szCs w:val="21"/>
                <w:highlight w:val="none"/>
              </w:rPr>
            </w:r>
            <w:r/>
          </w:p>
        </w:tc>
        <w:tc>
          <w:tcPr>
            <w:tcW w:w="4935" w:type="dxa"/>
            <w:vAlign w:val="center"/>
            <w:textDirection w:val="lrTb"/>
            <w:noWrap w:val="false"/>
          </w:tcPr>
          <w:p>
            <w:pPr>
              <w:jc w:val="center"/>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71" w:type="dxa"/>
            <w:vAlign w:val="center"/>
            <w:textDirection w:val="lrTb"/>
            <w:noWrap w:val="false"/>
          </w:tcPr>
          <w:p>
            <w:pPr>
              <w:jc w:val="center"/>
              <w:rPr>
                <w:rFonts w:ascii="宋体" w:hAnsi="宋体" w:eastAsia="宋体"/>
                <w:b/>
                <w:sz w:val="21"/>
                <w:szCs w:val="21"/>
                <w:highlight w:val="none"/>
              </w:rPr>
            </w:pPr>
            <w:r>
              <w:rPr>
                <w:rFonts w:ascii="宋体" w:hAnsi="宋体" w:eastAsia="宋体"/>
                <w:b/>
                <w:sz w:val="21"/>
                <w:szCs w:val="21"/>
                <w:highlight w:val="none"/>
              </w:rPr>
            </w:r>
            <w:r/>
          </w:p>
        </w:tc>
        <w:tc>
          <w:tcPr>
            <w:tcW w:w="4935" w:type="dxa"/>
            <w:vAlign w:val="center"/>
            <w:textDirection w:val="lrTb"/>
            <w:noWrap w:val="false"/>
          </w:tcPr>
          <w:p>
            <w:pPr>
              <w:jc w:val="center"/>
              <w:rPr>
                <w:rFonts w:ascii="宋体" w:hAnsi="宋体" w:eastAsia="宋体"/>
                <w:b/>
                <w:sz w:val="21"/>
                <w:szCs w:val="21"/>
                <w:highlight w:val="none"/>
              </w:rPr>
            </w:pPr>
            <w:r>
              <w:rPr>
                <w:rFonts w:ascii="宋体" w:hAnsi="宋体" w:eastAsia="宋体"/>
                <w:b/>
                <w:sz w:val="21"/>
                <w:szCs w:val="21"/>
                <w:highlight w:val="none"/>
              </w:rPr>
            </w:r>
            <w:r/>
          </w:p>
        </w:tc>
      </w:tr>
    </w:tbl>
    <w:p>
      <w:pPr>
        <w:ind w:firstLine="422"/>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注：1、投标单位须如实填写所有与之有控股、管理关系的情况，若无控股及管理情况，请填写“无”，并加盖公章，该情况表为资格审查条件，未提交视为资格审查不合格。</w:t>
      </w:r>
      <w:r/>
    </w:p>
    <w:p>
      <w:pPr>
        <w:pStyle w:val="702"/>
        <w:rPr>
          <w:rFonts w:ascii="宋体" w:hAnsi="宋体" w:eastAsia="宋体"/>
          <w:sz w:val="21"/>
          <w:szCs w:val="21"/>
          <w:highlight w:val="none"/>
        </w:rPr>
      </w:pPr>
      <w:r>
        <w:rPr>
          <w:rFonts w:hint="eastAsia" w:ascii="宋体" w:hAnsi="宋体" w:eastAsia="宋体"/>
          <w:b/>
          <w:sz w:val="21"/>
          <w:szCs w:val="21"/>
          <w:highlight w:val="none"/>
        </w:rPr>
        <w:t xml:space="preserve">       2、投标单位对上述情况表的真实性负责。如有虚假，将依法承担相应责任。</w:t>
      </w:r>
      <w:r/>
    </w:p>
    <w:p>
      <w:pPr>
        <w:ind w:firstLine="422"/>
        <w:spacing w:line="360" w:lineRule="auto"/>
        <w:rPr>
          <w:rFonts w:ascii="宋体" w:hAnsi="宋体" w:eastAsia="宋体"/>
          <w:b/>
          <w:sz w:val="21"/>
          <w:szCs w:val="21"/>
          <w:highlight w:val="none"/>
        </w:rPr>
      </w:pPr>
      <w:r>
        <w:rPr>
          <w:rFonts w:ascii="宋体" w:hAnsi="宋体" w:eastAsia="宋体"/>
          <w:b/>
          <w:sz w:val="21"/>
          <w:szCs w:val="21"/>
          <w:highlight w:val="none"/>
        </w:rPr>
      </w:r>
      <w:r/>
    </w:p>
    <w:p>
      <w:pPr>
        <w:ind w:firstLine="422"/>
        <w:spacing w:line="360" w:lineRule="auto"/>
        <w:rPr>
          <w:rFonts w:ascii="宋体" w:hAnsi="宋体" w:eastAsia="宋体"/>
          <w:b/>
          <w:sz w:val="21"/>
          <w:szCs w:val="21"/>
          <w:highlight w:val="none"/>
        </w:rPr>
      </w:pPr>
      <w:r>
        <w:rPr>
          <w:rFonts w:ascii="宋体" w:hAnsi="宋体" w:eastAsia="宋体"/>
          <w:b/>
          <w:sz w:val="21"/>
          <w:szCs w:val="21"/>
          <w:highlight w:val="none"/>
        </w:rPr>
      </w:r>
      <w:r/>
    </w:p>
    <w:p>
      <w:pPr>
        <w:pStyle w:val="705"/>
        <w:jc w:val="both"/>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投标人：（盖章）</w:t>
      </w:r>
      <w:r/>
    </w:p>
    <w:p>
      <w:pPr>
        <w:pStyle w:val="705"/>
        <w:jc w:val="both"/>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法定代表人或代理人：（签字或盖章）</w:t>
      </w:r>
      <w:r/>
    </w:p>
    <w:p>
      <w:pPr>
        <w:pStyle w:val="705"/>
        <w:jc w:val="both"/>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日期： </w:t>
      </w:r>
      <w:r>
        <w:rPr>
          <w:rFonts w:ascii="宋体" w:hAnsi="宋体" w:eastAsia="宋体"/>
          <w:sz w:val="21"/>
          <w:szCs w:val="21"/>
          <w:highlight w:val="none"/>
        </w:rPr>
        <w:t xml:space="preserve">   </w:t>
      </w:r>
      <w:r>
        <w:rPr>
          <w:rFonts w:hint="eastAsia" w:ascii="宋体" w:hAnsi="宋体" w:eastAsia="宋体"/>
          <w:sz w:val="21"/>
          <w:szCs w:val="21"/>
          <w:highlight w:val="none"/>
        </w:rPr>
        <w:t xml:space="preserve">年 </w:t>
      </w:r>
      <w:r>
        <w:rPr>
          <w:rFonts w:ascii="宋体" w:hAnsi="宋体" w:eastAsia="宋体"/>
          <w:sz w:val="21"/>
          <w:szCs w:val="21"/>
          <w:highlight w:val="none"/>
        </w:rPr>
        <w:t xml:space="preserve">  </w:t>
      </w:r>
      <w:r>
        <w:rPr>
          <w:rFonts w:hint="eastAsia" w:ascii="宋体" w:hAnsi="宋体" w:eastAsia="宋体"/>
          <w:sz w:val="21"/>
          <w:szCs w:val="21"/>
          <w:highlight w:val="none"/>
        </w:rPr>
        <w:t xml:space="preserve">月 </w:t>
      </w:r>
      <w:r>
        <w:rPr>
          <w:rFonts w:ascii="宋体" w:hAnsi="宋体" w:eastAsia="宋体"/>
          <w:sz w:val="21"/>
          <w:szCs w:val="21"/>
          <w:highlight w:val="none"/>
        </w:rPr>
        <w:t xml:space="preserve">  </w:t>
      </w:r>
      <w:r>
        <w:rPr>
          <w:rFonts w:hint="eastAsia" w:ascii="宋体" w:hAnsi="宋体" w:eastAsia="宋体"/>
          <w:sz w:val="21"/>
          <w:szCs w:val="21"/>
          <w:highlight w:val="none"/>
        </w:rPr>
        <w:t xml:space="preserve"> 日</w:t>
      </w:r>
      <w:r/>
    </w:p>
    <w:p>
      <w:pPr>
        <w:jc w:val="left"/>
        <w:widowControl/>
        <w:rPr>
          <w:rFonts w:ascii="宋体" w:hAnsi="宋体" w:eastAsia="宋体"/>
          <w:b/>
          <w:bCs/>
          <w:sz w:val="21"/>
          <w:szCs w:val="21"/>
          <w:highlight w:val="none"/>
        </w:rPr>
      </w:pPr>
      <w:r>
        <w:rPr>
          <w:rFonts w:ascii="宋体" w:hAnsi="宋体" w:eastAsia="宋体"/>
          <w:b/>
          <w:bCs/>
          <w:sz w:val="21"/>
          <w:szCs w:val="21"/>
          <w:highlight w:val="none"/>
        </w:rPr>
        <w:br w:type="page" w:clear="all"/>
      </w:r>
      <w:bookmarkStart w:id="33" w:name="_Toc405820241"/>
      <w:r/>
      <w:bookmarkStart w:id="34" w:name="_Toc348784829"/>
      <w:r/>
      <w:bookmarkStart w:id="35" w:name="_Toc405820406"/>
      <w:r/>
      <w:bookmarkStart w:id="36" w:name="_Toc348785370"/>
      <w:r/>
      <w:bookmarkStart w:id="37" w:name="_Toc405820181"/>
      <w:r/>
      <w:bookmarkStart w:id="38" w:name="_Toc405820303"/>
      <w:r/>
      <w:bookmarkStart w:id="39" w:name="_Toc348785015"/>
      <w:r/>
      <w:bookmarkStart w:id="40" w:name="_Toc382997005"/>
      <w:r/>
      <w:r/>
    </w:p>
    <w:p>
      <w:pPr>
        <w:pStyle w:val="705"/>
        <w:ind w:firstLine="0"/>
        <w:spacing w:line="360" w:lineRule="auto"/>
        <w:rPr>
          <w:rFonts w:ascii="宋体" w:hAnsi="宋体" w:eastAsia="宋体" w:cs="宋体"/>
          <w:b/>
          <w:bCs/>
          <w:sz w:val="21"/>
          <w:szCs w:val="21"/>
          <w:highlight w:val="none"/>
        </w:rPr>
      </w:pPr>
      <w:r>
        <w:rPr>
          <w:rFonts w:hint="eastAsia" w:ascii="宋体" w:hAnsi="宋体" w:eastAsia="宋体"/>
          <w:b/>
          <w:sz w:val="21"/>
          <w:szCs w:val="21"/>
          <w:highlight w:val="none"/>
        </w:rPr>
        <w:t xml:space="preserve">七、</w:t>
      </w:r>
      <w:bookmarkStart w:id="41" w:name="_Ref392256331"/>
      <w:r>
        <w:rPr>
          <w:rFonts w:hint="eastAsia" w:ascii="宋体" w:hAnsi="宋体" w:eastAsia="宋体" w:cs="宋体"/>
          <w:b/>
          <w:bCs/>
          <w:sz w:val="21"/>
          <w:szCs w:val="21"/>
          <w:highlight w:val="none"/>
        </w:rPr>
        <w:t xml:space="preserve">项目人员</w:t>
      </w:r>
      <w:bookmarkEnd w:id="41"/>
      <w:r>
        <w:rPr>
          <w:rFonts w:hint="eastAsia" w:ascii="宋体" w:hAnsi="宋体" w:eastAsia="宋体" w:cs="宋体"/>
          <w:b/>
          <w:bCs/>
          <w:sz w:val="21"/>
          <w:szCs w:val="21"/>
          <w:highlight w:val="none"/>
        </w:rPr>
        <w:t xml:space="preserve">配置表</w:t>
      </w:r>
      <w:r/>
    </w:p>
    <w:p>
      <w:pPr>
        <w:jc w:val="center"/>
        <w:spacing w:line="360" w:lineRule="auto"/>
        <w:rPr>
          <w:rFonts w:ascii="宋体" w:hAnsi="宋体" w:eastAsia="宋体"/>
          <w:b/>
          <w:sz w:val="30"/>
          <w:szCs w:val="30"/>
          <w:highlight w:val="none"/>
        </w:rPr>
      </w:pPr>
      <w:r>
        <w:rPr>
          <w:rFonts w:hint="eastAsia" w:ascii="宋体" w:hAnsi="宋体" w:eastAsia="宋体"/>
          <w:b/>
          <w:sz w:val="30"/>
          <w:szCs w:val="30"/>
          <w:highlight w:val="none"/>
        </w:rPr>
        <w:t xml:space="preserve">项目组人员配备一览表</w:t>
      </w:r>
      <w:r/>
    </w:p>
    <w:tbl>
      <w:tblPr>
        <w:tblStyle w:val="701"/>
        <w:tblW w:w="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2895"/>
        <w:gridCol w:w="1041"/>
        <w:gridCol w:w="1084"/>
        <w:gridCol w:w="1035"/>
        <w:gridCol w:w="1105"/>
        <w:gridCol w:w="1000"/>
      </w:tblGrid>
      <w:tr>
        <w:trPr>
          <w:jc w:val="center"/>
          <w:trHeight w:val="760"/>
        </w:trPr>
        <w:tc>
          <w:tcPr>
            <w:tcW w:w="645" w:type="dxa"/>
            <w:vAlign w:val="center"/>
            <w:textDirection w:val="lrTb"/>
            <w:noWrap w:val="false"/>
          </w:tcPr>
          <w:p>
            <w:pPr>
              <w:jc w:val="center"/>
              <w:spacing w:line="360" w:lineRule="auto"/>
              <w:rPr>
                <w:rFonts w:ascii="宋体" w:hAnsi="宋体" w:eastAsia="宋体" w:cs="等线"/>
                <w:sz w:val="21"/>
                <w:szCs w:val="21"/>
                <w:highlight w:val="none"/>
              </w:rPr>
            </w:pPr>
            <w:r>
              <w:rPr>
                <w:rFonts w:hint="eastAsia" w:ascii="宋体" w:hAnsi="宋体" w:eastAsia="宋体" w:cs="等线"/>
                <w:sz w:val="21"/>
                <w:szCs w:val="21"/>
                <w:highlight w:val="none"/>
              </w:rPr>
              <w:t xml:space="preserve">序号</w:t>
            </w:r>
            <w:r/>
          </w:p>
        </w:tc>
        <w:tc>
          <w:tcPr>
            <w:tcW w:w="2895" w:type="dxa"/>
            <w:vAlign w:val="center"/>
            <w:textDirection w:val="lrTb"/>
            <w:noWrap w:val="false"/>
          </w:tcPr>
          <w:p>
            <w:pPr>
              <w:jc w:val="center"/>
              <w:spacing w:line="360" w:lineRule="auto"/>
              <w:rPr>
                <w:rFonts w:ascii="宋体" w:hAnsi="宋体" w:eastAsia="宋体" w:cs="等线"/>
                <w:sz w:val="21"/>
                <w:szCs w:val="21"/>
                <w:highlight w:val="none"/>
              </w:rPr>
            </w:pPr>
            <w:r>
              <w:rPr>
                <w:rFonts w:hint="eastAsia" w:ascii="宋体" w:hAnsi="宋体" w:eastAsia="宋体" w:cs="等线"/>
                <w:sz w:val="21"/>
                <w:szCs w:val="21"/>
                <w:highlight w:val="none"/>
              </w:rPr>
              <w:t xml:space="preserve">岗位</w:t>
            </w:r>
            <w:r/>
          </w:p>
        </w:tc>
        <w:tc>
          <w:tcPr>
            <w:tcW w:w="1041" w:type="dxa"/>
            <w:vAlign w:val="center"/>
            <w:textDirection w:val="lrTb"/>
            <w:noWrap w:val="false"/>
          </w:tcPr>
          <w:p>
            <w:pPr>
              <w:jc w:val="center"/>
              <w:spacing w:line="360" w:lineRule="auto"/>
              <w:rPr>
                <w:rFonts w:ascii="宋体" w:hAnsi="宋体" w:eastAsia="宋体" w:cs="等线"/>
                <w:sz w:val="21"/>
                <w:szCs w:val="21"/>
                <w:highlight w:val="none"/>
              </w:rPr>
            </w:pPr>
            <w:r>
              <w:rPr>
                <w:rFonts w:hint="eastAsia" w:ascii="宋体" w:hAnsi="宋体" w:eastAsia="宋体" w:cs="等线"/>
                <w:sz w:val="21"/>
                <w:szCs w:val="21"/>
                <w:highlight w:val="none"/>
              </w:rPr>
              <w:t xml:space="preserve">姓名</w:t>
            </w:r>
            <w:r/>
          </w:p>
        </w:tc>
        <w:tc>
          <w:tcPr>
            <w:tcW w:w="1084" w:type="dxa"/>
            <w:vAlign w:val="center"/>
            <w:textDirection w:val="lrTb"/>
            <w:noWrap w:val="false"/>
          </w:tcPr>
          <w:p>
            <w:pPr>
              <w:jc w:val="center"/>
              <w:spacing w:line="360" w:lineRule="auto"/>
              <w:rPr>
                <w:rFonts w:ascii="宋体" w:hAnsi="宋体" w:eastAsia="宋体" w:cs="等线"/>
                <w:sz w:val="21"/>
                <w:szCs w:val="21"/>
                <w:highlight w:val="none"/>
              </w:rPr>
            </w:pPr>
            <w:r>
              <w:rPr>
                <w:rFonts w:hint="eastAsia" w:ascii="宋体" w:hAnsi="宋体" w:eastAsia="宋体" w:cs="等线"/>
                <w:sz w:val="21"/>
                <w:szCs w:val="21"/>
                <w:highlight w:val="none"/>
              </w:rPr>
              <w:t xml:space="preserve">性别</w:t>
            </w:r>
            <w:r/>
          </w:p>
        </w:tc>
        <w:tc>
          <w:tcPr>
            <w:tcW w:w="1035" w:type="dxa"/>
            <w:vAlign w:val="center"/>
            <w:textDirection w:val="lrTb"/>
            <w:noWrap w:val="false"/>
          </w:tcPr>
          <w:p>
            <w:pPr>
              <w:jc w:val="center"/>
              <w:spacing w:line="360" w:lineRule="auto"/>
              <w:rPr>
                <w:rFonts w:ascii="宋体" w:hAnsi="宋体" w:eastAsia="宋体" w:cs="等线"/>
                <w:sz w:val="21"/>
                <w:szCs w:val="21"/>
                <w:highlight w:val="none"/>
              </w:rPr>
            </w:pPr>
            <w:r>
              <w:rPr>
                <w:rFonts w:hint="eastAsia" w:ascii="宋体" w:hAnsi="宋体" w:eastAsia="宋体" w:cs="等线"/>
                <w:sz w:val="21"/>
                <w:szCs w:val="21"/>
                <w:highlight w:val="none"/>
              </w:rPr>
              <w:t xml:space="preserve">年龄</w:t>
            </w:r>
            <w:r/>
          </w:p>
        </w:tc>
        <w:tc>
          <w:tcPr>
            <w:tcW w:w="1105" w:type="dxa"/>
            <w:vAlign w:val="center"/>
            <w:textDirection w:val="lrTb"/>
            <w:noWrap w:val="false"/>
          </w:tcPr>
          <w:p>
            <w:pPr>
              <w:jc w:val="center"/>
              <w:spacing w:line="360" w:lineRule="auto"/>
              <w:rPr>
                <w:rFonts w:ascii="宋体" w:hAnsi="宋体" w:eastAsia="宋体" w:cs="等线"/>
                <w:sz w:val="21"/>
                <w:szCs w:val="21"/>
                <w:highlight w:val="none"/>
              </w:rPr>
            </w:pPr>
            <w:r>
              <w:rPr>
                <w:rFonts w:hint="eastAsia" w:ascii="宋体" w:hAnsi="宋体" w:eastAsia="宋体" w:cs="等线"/>
                <w:sz w:val="21"/>
                <w:szCs w:val="21"/>
                <w:highlight w:val="none"/>
              </w:rPr>
              <w:t xml:space="preserve">职称</w:t>
            </w:r>
            <w:r/>
          </w:p>
        </w:tc>
        <w:tc>
          <w:tcPr>
            <w:tcW w:w="1000" w:type="dxa"/>
            <w:vAlign w:val="center"/>
            <w:textDirection w:val="lrTb"/>
            <w:noWrap w:val="false"/>
          </w:tcPr>
          <w:p>
            <w:pPr>
              <w:jc w:val="center"/>
              <w:spacing w:line="360" w:lineRule="auto"/>
              <w:rPr>
                <w:rFonts w:ascii="宋体" w:hAnsi="宋体" w:eastAsia="宋体" w:cs="等线"/>
                <w:sz w:val="21"/>
                <w:szCs w:val="21"/>
                <w:highlight w:val="none"/>
              </w:rPr>
            </w:pPr>
            <w:r>
              <w:rPr>
                <w:rFonts w:hint="eastAsia" w:ascii="宋体" w:hAnsi="宋体" w:eastAsia="宋体" w:cs="等线"/>
                <w:sz w:val="21"/>
                <w:szCs w:val="21"/>
                <w:highlight w:val="none"/>
              </w:rPr>
              <w:t xml:space="preserve">证书</w:t>
            </w:r>
            <w:r/>
          </w:p>
        </w:tc>
      </w:tr>
      <w:tr>
        <w:trPr>
          <w:cantSplit/>
          <w:jc w:val="center"/>
          <w:trHeight w:val="420"/>
        </w:trPr>
        <w:tc>
          <w:tcPr>
            <w:tcW w:w="64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289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41"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84"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3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10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00"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r>
      <w:tr>
        <w:trPr>
          <w:cantSplit/>
          <w:jc w:val="center"/>
          <w:trHeight w:val="420"/>
        </w:trPr>
        <w:tc>
          <w:tcPr>
            <w:tcW w:w="64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289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41"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84"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3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10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00"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r>
      <w:tr>
        <w:trPr>
          <w:cantSplit/>
          <w:jc w:val="center"/>
          <w:trHeight w:val="420"/>
        </w:trPr>
        <w:tc>
          <w:tcPr>
            <w:tcW w:w="64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289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41"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84"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3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10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00"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r>
      <w:tr>
        <w:trPr>
          <w:cantSplit/>
          <w:jc w:val="center"/>
          <w:trHeight w:val="420"/>
        </w:trPr>
        <w:tc>
          <w:tcPr>
            <w:tcW w:w="64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289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41"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84"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3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10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00"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r>
      <w:tr>
        <w:trPr>
          <w:cantSplit/>
          <w:jc w:val="center"/>
          <w:trHeight w:val="420"/>
        </w:trPr>
        <w:tc>
          <w:tcPr>
            <w:tcW w:w="64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289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41"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84"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3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10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00"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r>
      <w:tr>
        <w:trPr>
          <w:cantSplit/>
          <w:jc w:val="center"/>
          <w:trHeight w:val="420"/>
        </w:trPr>
        <w:tc>
          <w:tcPr>
            <w:tcW w:w="64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289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41"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84"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3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10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00"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r>
      <w:tr>
        <w:trPr>
          <w:cantSplit/>
          <w:jc w:val="center"/>
          <w:trHeight w:val="420"/>
        </w:trPr>
        <w:tc>
          <w:tcPr>
            <w:tcW w:w="64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289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41"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84"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3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10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00"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r>
      <w:tr>
        <w:trPr>
          <w:cantSplit/>
          <w:jc w:val="center"/>
          <w:trHeight w:val="420"/>
        </w:trPr>
        <w:tc>
          <w:tcPr>
            <w:tcW w:w="64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289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41"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84"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3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10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00"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r>
      <w:tr>
        <w:trPr>
          <w:cantSplit/>
          <w:jc w:val="center"/>
          <w:trHeight w:val="420"/>
        </w:trPr>
        <w:tc>
          <w:tcPr>
            <w:tcW w:w="64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289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41"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84"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3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10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00"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r>
      <w:tr>
        <w:trPr>
          <w:cantSplit/>
          <w:jc w:val="center"/>
          <w:trHeight w:val="420"/>
        </w:trPr>
        <w:tc>
          <w:tcPr>
            <w:tcW w:w="64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289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41"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84"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3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10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00"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r>
      <w:tr>
        <w:trPr>
          <w:cantSplit/>
          <w:jc w:val="center"/>
          <w:trHeight w:val="420"/>
        </w:trPr>
        <w:tc>
          <w:tcPr>
            <w:tcW w:w="64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289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41"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84"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3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10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00"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r>
      <w:tr>
        <w:trPr>
          <w:cantSplit/>
          <w:jc w:val="center"/>
          <w:trHeight w:val="420"/>
        </w:trPr>
        <w:tc>
          <w:tcPr>
            <w:tcW w:w="64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289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41"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84"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3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10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00"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r>
      <w:tr>
        <w:trPr>
          <w:cantSplit/>
          <w:jc w:val="center"/>
          <w:trHeight w:val="420"/>
        </w:trPr>
        <w:tc>
          <w:tcPr>
            <w:tcW w:w="64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289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41"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84"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3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105"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c>
          <w:tcPr>
            <w:tcW w:w="1000" w:type="dxa"/>
            <w:vAlign w:val="center"/>
            <w:textDirection w:val="lrTb"/>
            <w:noWrap w:val="false"/>
          </w:tcPr>
          <w:p>
            <w:pPr>
              <w:jc w:val="center"/>
              <w:rPr>
                <w:rFonts w:ascii="宋体" w:hAnsi="宋体" w:eastAsia="宋体" w:cs="等线"/>
                <w:sz w:val="21"/>
                <w:szCs w:val="21"/>
                <w:highlight w:val="none"/>
              </w:rPr>
            </w:pPr>
            <w:r>
              <w:rPr>
                <w:rFonts w:ascii="宋体" w:hAnsi="宋体" w:eastAsia="宋体" w:cs="等线"/>
                <w:sz w:val="21"/>
                <w:szCs w:val="21"/>
                <w:highlight w:val="none"/>
              </w:rPr>
            </w:r>
            <w:r/>
          </w:p>
        </w:tc>
      </w:tr>
    </w:tbl>
    <w:p>
      <w:pPr>
        <w:spacing w:line="360" w:lineRule="auto"/>
        <w:rPr>
          <w:rFonts w:ascii="宋体" w:hAnsi="宋体" w:eastAsia="宋体"/>
          <w:sz w:val="21"/>
          <w:szCs w:val="21"/>
          <w:highlight w:val="none"/>
        </w:rPr>
      </w:pPr>
      <w:r>
        <w:rPr>
          <w:rFonts w:ascii="宋体" w:hAnsi="宋体" w:eastAsia="宋体"/>
          <w:sz w:val="21"/>
          <w:szCs w:val="21"/>
          <w:highlight w:val="none"/>
        </w:rPr>
      </w:r>
      <w:r/>
    </w:p>
    <w:p>
      <w:pP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投标人：（单位盖章）</w:t>
      </w:r>
      <w:r/>
    </w:p>
    <w:p>
      <w:pP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法定代表人或代理人：（签字或盖章）</w:t>
      </w:r>
      <w:r/>
    </w:p>
    <w:p>
      <w:pPr>
        <w:spacing w:line="360" w:lineRule="auto"/>
        <w:rPr>
          <w:rFonts w:ascii="宋体" w:hAnsi="宋体" w:eastAsia="宋体"/>
          <w:sz w:val="21"/>
          <w:szCs w:val="21"/>
          <w:highlight w:val="none"/>
          <w:lang w:val="zh-CN"/>
        </w:rPr>
      </w:pPr>
      <w:r>
        <w:rPr>
          <w:rFonts w:hint="eastAsia" w:ascii="宋体" w:hAnsi="宋体" w:eastAsia="宋体"/>
          <w:sz w:val="21"/>
          <w:szCs w:val="21"/>
          <w:highlight w:val="none"/>
        </w:rPr>
        <w:t xml:space="preserve">日期： </w:t>
      </w:r>
      <w:r>
        <w:rPr>
          <w:rFonts w:ascii="宋体" w:hAnsi="宋体" w:eastAsia="宋体"/>
          <w:sz w:val="21"/>
          <w:szCs w:val="21"/>
          <w:highlight w:val="none"/>
        </w:rPr>
        <w:t xml:space="preserve">   </w:t>
      </w:r>
      <w:r>
        <w:rPr>
          <w:rFonts w:hint="eastAsia" w:ascii="宋体" w:hAnsi="宋体" w:eastAsia="宋体"/>
          <w:sz w:val="21"/>
          <w:szCs w:val="21"/>
          <w:highlight w:val="none"/>
        </w:rPr>
        <w:t xml:space="preserve">年 </w:t>
      </w:r>
      <w:r>
        <w:rPr>
          <w:rFonts w:ascii="宋体" w:hAnsi="宋体" w:eastAsia="宋体"/>
          <w:sz w:val="21"/>
          <w:szCs w:val="21"/>
          <w:highlight w:val="none"/>
        </w:rPr>
        <w:t xml:space="preserve">  </w:t>
      </w:r>
      <w:r>
        <w:rPr>
          <w:rFonts w:hint="eastAsia" w:ascii="宋体" w:hAnsi="宋体" w:eastAsia="宋体"/>
          <w:sz w:val="21"/>
          <w:szCs w:val="21"/>
          <w:highlight w:val="none"/>
        </w:rPr>
        <w:t xml:space="preserve">月 </w:t>
      </w:r>
      <w:r>
        <w:rPr>
          <w:rFonts w:ascii="宋体" w:hAnsi="宋体" w:eastAsia="宋体"/>
          <w:sz w:val="21"/>
          <w:szCs w:val="21"/>
          <w:highlight w:val="none"/>
        </w:rPr>
        <w:t xml:space="preserve">  </w:t>
      </w:r>
      <w:r>
        <w:rPr>
          <w:rFonts w:hint="eastAsia" w:ascii="宋体" w:hAnsi="宋体" w:eastAsia="宋体"/>
          <w:sz w:val="21"/>
          <w:szCs w:val="21"/>
          <w:highlight w:val="none"/>
        </w:rPr>
        <w:t xml:space="preserve"> 日</w:t>
      </w:r>
      <w:r/>
    </w:p>
    <w:p>
      <w:pPr>
        <w:jc w:val="left"/>
        <w:widowControl/>
        <w:rPr>
          <w:rFonts w:ascii="宋体" w:hAnsi="宋体" w:eastAsia="宋体"/>
          <w:b/>
          <w:sz w:val="21"/>
          <w:szCs w:val="21"/>
          <w:highlight w:val="none"/>
        </w:rPr>
      </w:pPr>
      <w:r>
        <w:rPr>
          <w:rFonts w:hint="eastAsia" w:ascii="宋体" w:hAnsi="宋体" w:eastAsia="宋体"/>
          <w:b/>
          <w:sz w:val="21"/>
          <w:szCs w:val="21"/>
          <w:highlight w:val="none"/>
        </w:rPr>
        <w:br w:type="page" w:clear="all"/>
      </w:r>
      <w:r/>
    </w:p>
    <w:p>
      <w:pPr>
        <w:pStyle w:val="939"/>
        <w:jc w:val="left"/>
        <w:spacing w:line="360" w:lineRule="auto"/>
        <w:rPr>
          <w:rFonts w:hAnsi="宋体" w:eastAsia="宋体"/>
          <w:b/>
          <w:sz w:val="21"/>
          <w:szCs w:val="21"/>
          <w:highlight w:val="none"/>
        </w:rPr>
      </w:pPr>
      <w:r>
        <w:rPr>
          <w:rFonts w:hint="eastAsia" w:hAnsi="宋体" w:eastAsia="宋体"/>
          <w:b/>
          <w:sz w:val="21"/>
          <w:szCs w:val="21"/>
          <w:highlight w:val="none"/>
        </w:rPr>
        <w:t xml:space="preserve">八、类似业绩一览表</w:t>
      </w:r>
      <w:r/>
    </w:p>
    <w:p>
      <w:pPr>
        <w:jc w:val="center"/>
        <w:spacing w:line="360" w:lineRule="auto"/>
        <w:rPr>
          <w:rFonts w:ascii="宋体" w:hAnsi="宋体" w:eastAsia="宋体"/>
          <w:b/>
          <w:sz w:val="21"/>
          <w:szCs w:val="21"/>
          <w:highlight w:val="none"/>
        </w:rPr>
      </w:pPr>
      <w:r>
        <w:rPr>
          <w:rFonts w:ascii="宋体" w:hAnsi="宋体" w:eastAsia="宋体"/>
          <w:b/>
          <w:sz w:val="21"/>
          <w:szCs w:val="21"/>
          <w:highlight w:val="none"/>
        </w:rPr>
      </w:r>
      <w:r/>
    </w:p>
    <w:p>
      <w:pPr>
        <w:jc w:val="center"/>
        <w:spacing w:line="360" w:lineRule="auto"/>
        <w:rPr>
          <w:rFonts w:ascii="宋体" w:hAnsi="宋体" w:eastAsia="宋体"/>
          <w:b/>
          <w:sz w:val="30"/>
          <w:szCs w:val="30"/>
          <w:highlight w:val="none"/>
        </w:rPr>
      </w:pPr>
      <w:r>
        <w:rPr>
          <w:rFonts w:hint="eastAsia" w:ascii="宋体" w:hAnsi="宋体" w:eastAsia="宋体"/>
          <w:b/>
          <w:sz w:val="30"/>
          <w:szCs w:val="30"/>
          <w:highlight w:val="none"/>
        </w:rPr>
        <w:t xml:space="preserve">类似业绩一览表</w:t>
      </w:r>
      <w:r/>
    </w:p>
    <w:tbl>
      <w:tblPr>
        <w:tblStyle w:val="701"/>
        <w:tblW w:w="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2879"/>
        <w:gridCol w:w="1852"/>
        <w:gridCol w:w="2204"/>
        <w:gridCol w:w="1225"/>
      </w:tblGrid>
      <w:tr>
        <w:trPr>
          <w:cantSplit/>
          <w:jc w:val="center"/>
          <w:trHeight w:val="634"/>
        </w:trPr>
        <w:tc>
          <w:tcPr>
            <w:tcW w:w="993" w:type="dxa"/>
            <w:vAlign w:val="center"/>
            <w:textDirection w:val="lrTb"/>
            <w:noWrap w:val="false"/>
          </w:tcPr>
          <w:p>
            <w:pPr>
              <w:jc w:val="center"/>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序号</w:t>
            </w:r>
            <w:r/>
          </w:p>
        </w:tc>
        <w:tc>
          <w:tcPr>
            <w:tcW w:w="2879" w:type="dxa"/>
            <w:vAlign w:val="center"/>
            <w:textDirection w:val="lrTb"/>
            <w:noWrap w:val="false"/>
          </w:tcPr>
          <w:p>
            <w:pPr>
              <w:jc w:val="center"/>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项目名称</w:t>
            </w:r>
            <w:r/>
          </w:p>
        </w:tc>
        <w:tc>
          <w:tcPr>
            <w:tcW w:w="1852" w:type="dxa"/>
            <w:vAlign w:val="center"/>
            <w:textDirection w:val="lrTb"/>
            <w:noWrap w:val="false"/>
          </w:tcPr>
          <w:p>
            <w:pPr>
              <w:jc w:val="center"/>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采购单位</w:t>
            </w:r>
            <w:r/>
          </w:p>
        </w:tc>
        <w:tc>
          <w:tcPr>
            <w:tcW w:w="2204" w:type="dxa"/>
            <w:vAlign w:val="center"/>
            <w:textDirection w:val="lrTb"/>
            <w:noWrap w:val="false"/>
          </w:tcPr>
          <w:p>
            <w:pPr>
              <w:jc w:val="center"/>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签订时间</w:t>
            </w:r>
            <w:r/>
          </w:p>
        </w:tc>
        <w:tc>
          <w:tcPr>
            <w:tcW w:w="1225" w:type="dxa"/>
            <w:vAlign w:val="center"/>
            <w:textDirection w:val="lrTb"/>
            <w:noWrap w:val="false"/>
          </w:tcPr>
          <w:p>
            <w:pPr>
              <w:jc w:val="center"/>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备注</w:t>
            </w:r>
            <w:r/>
          </w:p>
        </w:tc>
      </w:tr>
      <w:tr>
        <w:trPr>
          <w:cantSplit/>
          <w:jc w:val="center"/>
          <w:trHeight w:val="528" w:hRule="exact"/>
        </w:trPr>
        <w:tc>
          <w:tcPr>
            <w:tcW w:w="993" w:type="dxa"/>
            <w:vAlign w:val="center"/>
            <w:textDirection w:val="lrTb"/>
            <w:noWrap w:val="false"/>
          </w:tcPr>
          <w:p>
            <w:pPr>
              <w:jc w:val="center"/>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1</w:t>
            </w:r>
            <w:r/>
          </w:p>
        </w:tc>
        <w:tc>
          <w:tcPr>
            <w:tcW w:w="2879"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1852"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2204"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1225"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r>
      <w:tr>
        <w:trPr>
          <w:cantSplit/>
          <w:jc w:val="center"/>
          <w:trHeight w:val="528" w:hRule="exact"/>
        </w:trPr>
        <w:tc>
          <w:tcPr>
            <w:tcW w:w="993" w:type="dxa"/>
            <w:vAlign w:val="center"/>
            <w:textDirection w:val="lrTb"/>
            <w:noWrap w:val="false"/>
          </w:tcPr>
          <w:p>
            <w:pPr>
              <w:jc w:val="center"/>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2</w:t>
            </w:r>
            <w:r/>
          </w:p>
        </w:tc>
        <w:tc>
          <w:tcPr>
            <w:tcW w:w="2879"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1852"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2204"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1225"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r>
      <w:tr>
        <w:trPr>
          <w:cantSplit/>
          <w:jc w:val="center"/>
          <w:trHeight w:val="528" w:hRule="exact"/>
        </w:trPr>
        <w:tc>
          <w:tcPr>
            <w:tcW w:w="993" w:type="dxa"/>
            <w:vAlign w:val="center"/>
            <w:textDirection w:val="lrTb"/>
            <w:noWrap w:val="false"/>
          </w:tcPr>
          <w:p>
            <w:pPr>
              <w:jc w:val="center"/>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3</w:t>
            </w:r>
            <w:r/>
          </w:p>
        </w:tc>
        <w:tc>
          <w:tcPr>
            <w:tcW w:w="2879"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1852"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2204"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1225"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r>
      <w:tr>
        <w:trPr>
          <w:cantSplit/>
          <w:jc w:val="center"/>
          <w:trHeight w:val="528" w:hRule="exact"/>
        </w:trPr>
        <w:tc>
          <w:tcPr>
            <w:tcW w:w="993" w:type="dxa"/>
            <w:vAlign w:val="center"/>
            <w:textDirection w:val="lrTb"/>
            <w:noWrap w:val="false"/>
          </w:tcPr>
          <w:p>
            <w:pPr>
              <w:jc w:val="center"/>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4</w:t>
            </w:r>
            <w:r/>
          </w:p>
        </w:tc>
        <w:tc>
          <w:tcPr>
            <w:tcW w:w="2879"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1852"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2204"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1225"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r>
      <w:tr>
        <w:trPr>
          <w:cantSplit/>
          <w:jc w:val="center"/>
          <w:trHeight w:val="528" w:hRule="exact"/>
        </w:trPr>
        <w:tc>
          <w:tcPr>
            <w:tcW w:w="993" w:type="dxa"/>
            <w:vAlign w:val="center"/>
            <w:textDirection w:val="lrTb"/>
            <w:noWrap w:val="false"/>
          </w:tcPr>
          <w:p>
            <w:pPr>
              <w:jc w:val="center"/>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5</w:t>
            </w:r>
            <w:r/>
          </w:p>
        </w:tc>
        <w:tc>
          <w:tcPr>
            <w:tcW w:w="2879"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1852"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2204"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1225"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r>
      <w:tr>
        <w:trPr>
          <w:cantSplit/>
          <w:jc w:val="center"/>
          <w:trHeight w:val="528" w:hRule="exact"/>
        </w:trPr>
        <w:tc>
          <w:tcPr>
            <w:tcW w:w="993" w:type="dxa"/>
            <w:vAlign w:val="center"/>
            <w:textDirection w:val="tbRlV"/>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2879"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1852"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2204"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1225"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r>
      <w:tr>
        <w:trPr>
          <w:cantSplit/>
          <w:jc w:val="center"/>
          <w:trHeight w:val="528" w:hRule="exact"/>
        </w:trPr>
        <w:tc>
          <w:tcPr>
            <w:tcW w:w="993"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2879"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1852"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2204"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1225"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r>
      <w:tr>
        <w:trPr>
          <w:cantSplit/>
          <w:jc w:val="center"/>
          <w:trHeight w:val="528" w:hRule="exact"/>
        </w:trPr>
        <w:tc>
          <w:tcPr>
            <w:tcW w:w="993"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2879"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1852"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2204"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1225"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r>
      <w:tr>
        <w:trPr>
          <w:cantSplit/>
          <w:jc w:val="center"/>
          <w:trHeight w:val="528" w:hRule="exact"/>
        </w:trPr>
        <w:tc>
          <w:tcPr>
            <w:tcW w:w="993"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2879"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1852"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2204"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1225"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r>
      <w:tr>
        <w:trPr>
          <w:cantSplit/>
          <w:jc w:val="center"/>
          <w:trHeight w:val="528" w:hRule="exact"/>
        </w:trPr>
        <w:tc>
          <w:tcPr>
            <w:tcW w:w="993"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2879"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1852"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2204"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W w:w="1225" w:type="dxa"/>
            <w:vAlign w:val="center"/>
            <w:textDirection w:val="lrTb"/>
            <w:noWrap w:val="false"/>
          </w:tcPr>
          <w:p>
            <w:pPr>
              <w:jc w:val="center"/>
              <w:rPr>
                <w:rFonts w:ascii="宋体" w:hAnsi="宋体" w:eastAsia="宋体" w:cs="宋体"/>
                <w:bCs/>
                <w:sz w:val="21"/>
                <w:szCs w:val="21"/>
                <w:highlight w:val="none"/>
              </w:rPr>
            </w:pPr>
            <w:r>
              <w:rPr>
                <w:rFonts w:ascii="宋体" w:hAnsi="宋体" w:eastAsia="宋体" w:cs="宋体"/>
                <w:bCs/>
                <w:sz w:val="21"/>
                <w:szCs w:val="21"/>
                <w:highlight w:val="none"/>
              </w:rPr>
            </w:r>
            <w:r/>
          </w:p>
        </w:tc>
      </w:tr>
    </w:tbl>
    <w:p>
      <w:pPr>
        <w:jc w:val="center"/>
        <w:spacing w:line="360" w:lineRule="auto"/>
        <w:rPr>
          <w:rFonts w:ascii="宋体" w:hAnsi="宋体" w:eastAsia="宋体"/>
          <w:b/>
          <w:sz w:val="21"/>
          <w:szCs w:val="21"/>
          <w:highlight w:val="none"/>
        </w:rPr>
      </w:pPr>
      <w:r>
        <w:rPr>
          <w:rFonts w:ascii="宋体" w:hAnsi="宋体" w:eastAsia="宋体"/>
          <w:b/>
          <w:sz w:val="21"/>
          <w:szCs w:val="21"/>
          <w:highlight w:val="none"/>
        </w:rPr>
      </w:r>
      <w:r/>
    </w:p>
    <w:p>
      <w:pPr>
        <w:ind w:firstLine="420"/>
        <w:spacing w:line="360" w:lineRule="auto"/>
        <w:rPr>
          <w:rFonts w:ascii="宋体" w:hAnsi="宋体" w:eastAsia="宋体" w:cs="Arial"/>
          <w:sz w:val="21"/>
          <w:szCs w:val="21"/>
          <w:highlight w:val="none"/>
          <w:lang w:val="zh-CN"/>
        </w:rPr>
      </w:pPr>
      <w:r>
        <w:rPr>
          <w:rFonts w:hint="eastAsia" w:ascii="宋体" w:hAnsi="宋体" w:eastAsia="宋体" w:cs="Arial"/>
          <w:sz w:val="21"/>
          <w:szCs w:val="21"/>
          <w:highlight w:val="none"/>
          <w:lang w:val="zh-CN"/>
        </w:rPr>
        <w:t xml:space="preserve">注：投标人应提供双方签订合同的复印件并加盖投标人公章（公章），否则将不作为评标的依据。</w:t>
      </w:r>
      <w:r/>
    </w:p>
    <w:p>
      <w:pPr>
        <w:ind w:firstLine="420"/>
        <w:spacing w:line="360" w:lineRule="auto"/>
        <w:rPr>
          <w:rFonts w:ascii="宋体" w:hAnsi="宋体" w:eastAsia="宋体"/>
          <w:sz w:val="21"/>
          <w:szCs w:val="21"/>
          <w:highlight w:val="none"/>
        </w:rPr>
      </w:pPr>
      <w:r>
        <w:rPr>
          <w:rFonts w:ascii="宋体" w:hAnsi="宋体" w:eastAsia="宋体"/>
          <w:sz w:val="21"/>
          <w:szCs w:val="21"/>
          <w:highlight w:val="none"/>
        </w:rPr>
      </w:r>
      <w:r/>
    </w:p>
    <w:p>
      <w:pPr>
        <w:ind w:firstLine="420"/>
        <w:spacing w:line="360" w:lineRule="auto"/>
        <w:rPr>
          <w:rFonts w:ascii="宋体" w:hAnsi="宋体" w:eastAsia="宋体"/>
          <w:sz w:val="21"/>
          <w:szCs w:val="21"/>
          <w:highlight w:val="none"/>
        </w:rPr>
      </w:pPr>
      <w:r>
        <w:rPr>
          <w:rFonts w:ascii="宋体" w:hAnsi="宋体" w:eastAsia="宋体"/>
          <w:sz w:val="21"/>
          <w:szCs w:val="21"/>
          <w:highlight w:val="none"/>
        </w:rPr>
      </w:r>
      <w:r/>
    </w:p>
    <w:p>
      <w:pPr>
        <w:pStyle w:val="933"/>
        <w:ind w:firstLine="420"/>
        <w:rPr>
          <w:rFonts w:ascii="宋体" w:hAnsi="宋体" w:eastAsia="宋体"/>
          <w:sz w:val="21"/>
          <w:szCs w:val="21"/>
          <w:highlight w:val="none"/>
        </w:rPr>
      </w:pPr>
      <w:r>
        <w:rPr>
          <w:rFonts w:hint="eastAsia" w:ascii="宋体" w:hAnsi="宋体" w:eastAsia="宋体"/>
          <w:sz w:val="21"/>
          <w:szCs w:val="21"/>
          <w:highlight w:val="none"/>
        </w:rPr>
        <w:t xml:space="preserve">投标人：（盖章）</w:t>
      </w:r>
      <w:r/>
    </w:p>
    <w:p>
      <w:pPr>
        <w:pStyle w:val="933"/>
        <w:ind w:firstLine="420"/>
        <w:rPr>
          <w:rFonts w:ascii="宋体" w:hAnsi="宋体" w:eastAsia="宋体"/>
          <w:sz w:val="21"/>
          <w:szCs w:val="21"/>
          <w:highlight w:val="none"/>
        </w:rPr>
      </w:pPr>
      <w:r>
        <w:rPr>
          <w:rFonts w:hint="eastAsia" w:ascii="宋体" w:hAnsi="宋体" w:eastAsia="宋体"/>
          <w:sz w:val="21"/>
          <w:szCs w:val="21"/>
          <w:highlight w:val="none"/>
        </w:rPr>
        <w:t xml:space="preserve">法定代表人或代理人：（签字或盖章）</w:t>
      </w:r>
      <w:r/>
    </w:p>
    <w:p>
      <w:pPr>
        <w:pStyle w:val="713"/>
        <w:ind w:firstLine="420"/>
        <w:spacing w:line="360" w:lineRule="auto"/>
        <w:rPr>
          <w:rFonts w:hAnsi="宋体" w:eastAsia="宋体"/>
          <w:sz w:val="21"/>
          <w:szCs w:val="21"/>
          <w:highlight w:val="none"/>
        </w:rPr>
      </w:pPr>
      <w:r>
        <w:rPr>
          <w:rFonts w:hint="eastAsia" w:hAnsi="宋体" w:eastAsia="宋体"/>
          <w:sz w:val="21"/>
          <w:szCs w:val="21"/>
          <w:highlight w:val="none"/>
        </w:rPr>
        <w:t xml:space="preserve">日期： </w:t>
      </w:r>
      <w:r>
        <w:rPr>
          <w:rFonts w:hAnsi="宋体" w:eastAsia="宋体"/>
          <w:sz w:val="21"/>
          <w:szCs w:val="21"/>
          <w:highlight w:val="none"/>
        </w:rPr>
        <w:t xml:space="preserve">   </w:t>
      </w:r>
      <w:r>
        <w:rPr>
          <w:rFonts w:hint="eastAsia" w:hAnsi="宋体" w:eastAsia="宋体"/>
          <w:sz w:val="21"/>
          <w:szCs w:val="21"/>
          <w:highlight w:val="none"/>
        </w:rPr>
        <w:t xml:space="preserve">年 </w:t>
      </w:r>
      <w:r>
        <w:rPr>
          <w:rFonts w:hAnsi="宋体" w:eastAsia="宋体"/>
          <w:sz w:val="21"/>
          <w:szCs w:val="21"/>
          <w:highlight w:val="none"/>
        </w:rPr>
        <w:t xml:space="preserve">  </w:t>
      </w:r>
      <w:r>
        <w:rPr>
          <w:rFonts w:hint="eastAsia" w:hAnsi="宋体" w:eastAsia="宋体"/>
          <w:sz w:val="21"/>
          <w:szCs w:val="21"/>
          <w:highlight w:val="none"/>
        </w:rPr>
        <w:t xml:space="preserve">月 </w:t>
      </w:r>
      <w:r>
        <w:rPr>
          <w:rFonts w:hAnsi="宋体" w:eastAsia="宋体"/>
          <w:sz w:val="21"/>
          <w:szCs w:val="21"/>
          <w:highlight w:val="none"/>
        </w:rPr>
        <w:t xml:space="preserve">  </w:t>
      </w:r>
      <w:r>
        <w:rPr>
          <w:rFonts w:hint="eastAsia" w:hAnsi="宋体" w:eastAsia="宋体"/>
          <w:sz w:val="21"/>
          <w:szCs w:val="21"/>
          <w:highlight w:val="none"/>
        </w:rPr>
        <w:t xml:space="preserve"> 日</w:t>
      </w:r>
      <w:r/>
    </w:p>
    <w:p>
      <w:pPr>
        <w:pStyle w:val="939"/>
        <w:jc w:val="left"/>
        <w:spacing w:line="360" w:lineRule="auto"/>
        <w:rPr>
          <w:rFonts w:hAnsi="宋体" w:eastAsia="宋体"/>
          <w:b/>
          <w:sz w:val="21"/>
          <w:szCs w:val="21"/>
          <w:highlight w:val="none"/>
        </w:rPr>
      </w:pPr>
      <w:r>
        <w:rPr>
          <w:rFonts w:hint="eastAsia" w:hAnsi="宋体" w:eastAsia="宋体"/>
          <w:sz w:val="21"/>
          <w:szCs w:val="21"/>
          <w:highlight w:val="none"/>
        </w:rPr>
        <w:br w:type="page" w:clear="all"/>
      </w:r>
      <w:bookmarkEnd w:id="33"/>
      <w:r/>
      <w:bookmarkEnd w:id="34"/>
      <w:r/>
      <w:bookmarkEnd w:id="35"/>
      <w:r/>
      <w:bookmarkEnd w:id="36"/>
      <w:r/>
      <w:bookmarkEnd w:id="37"/>
      <w:r/>
      <w:bookmarkEnd w:id="38"/>
      <w:r/>
      <w:bookmarkEnd w:id="39"/>
      <w:r/>
      <w:bookmarkEnd w:id="40"/>
      <w:r/>
      <w:bookmarkStart w:id="42" w:name="_Toc405820304"/>
      <w:r/>
      <w:bookmarkStart w:id="43" w:name="_Toc405820407"/>
      <w:r/>
      <w:bookmarkStart w:id="44" w:name="_Toc405820242"/>
      <w:r/>
      <w:bookmarkStart w:id="45" w:name="_Toc382997006"/>
      <w:r/>
      <w:bookmarkStart w:id="46" w:name="_Toc348785016"/>
      <w:r/>
      <w:bookmarkStart w:id="47" w:name="_Toc405820979"/>
      <w:r/>
      <w:bookmarkStart w:id="48" w:name="_Toc348785371"/>
      <w:r/>
      <w:bookmarkStart w:id="49" w:name="_Toc142194271"/>
      <w:r/>
      <w:bookmarkStart w:id="50" w:name="_Toc348784830"/>
      <w:r/>
      <w:bookmarkStart w:id="51" w:name="_Toc405820182"/>
      <w:r/>
      <w:bookmarkStart w:id="52" w:name="_Toc13889376"/>
      <w:r>
        <w:rPr>
          <w:rFonts w:hint="eastAsia" w:hAnsi="宋体" w:eastAsia="宋体"/>
          <w:b/>
          <w:sz w:val="21"/>
          <w:szCs w:val="21"/>
          <w:highlight w:val="none"/>
        </w:rPr>
        <w:t xml:space="preserve">九、中小企业声明函</w:t>
      </w:r>
      <w:bookmarkEnd w:id="42"/>
      <w:r/>
      <w:bookmarkEnd w:id="43"/>
      <w:r/>
      <w:bookmarkEnd w:id="44"/>
      <w:r/>
      <w:bookmarkEnd w:id="45"/>
      <w:r/>
      <w:bookmarkEnd w:id="46"/>
      <w:r/>
      <w:bookmarkEnd w:id="47"/>
      <w:r/>
      <w:bookmarkEnd w:id="48"/>
      <w:r/>
      <w:bookmarkEnd w:id="49"/>
      <w:r/>
      <w:bookmarkEnd w:id="50"/>
      <w:r/>
      <w:bookmarkEnd w:id="51"/>
      <w:r/>
      <w:bookmarkEnd w:id="52"/>
      <w:r/>
      <w:r/>
    </w:p>
    <w:p>
      <w:pPr>
        <w:jc w:val="center"/>
        <w:spacing w:line="360" w:lineRule="auto"/>
        <w:rPr>
          <w:rFonts w:ascii="宋体" w:hAnsi="宋体" w:eastAsia="宋体"/>
          <w:b/>
          <w:bCs/>
          <w:sz w:val="30"/>
          <w:szCs w:val="30"/>
          <w:highlight w:val="none"/>
        </w:rPr>
      </w:pPr>
      <w:r>
        <w:rPr>
          <w:rFonts w:hint="eastAsia" w:ascii="宋体" w:hAnsi="宋体" w:eastAsia="宋体"/>
          <w:b/>
          <w:bCs/>
          <w:sz w:val="30"/>
          <w:szCs w:val="30"/>
          <w:highlight w:val="none"/>
        </w:rPr>
        <w:t xml:space="preserve">中小企业声明函</w:t>
      </w:r>
      <w:r/>
    </w:p>
    <w:p>
      <w:pPr>
        <w:pStyle w:val="733"/>
        <w:ind w:firstLine="640"/>
        <w:jc w:val="both"/>
        <w:spacing w:before="0" w:beforeAutospacing="0" w:after="120" w:afterAutospacing="0" w:line="360" w:lineRule="auto"/>
        <w:widowControl w:val="off"/>
        <w:rPr>
          <w:sz w:val="21"/>
          <w:szCs w:val="21"/>
          <w:highlight w:val="none"/>
        </w:rPr>
      </w:pPr>
      <w:r>
        <w:rPr>
          <w:rFonts w:hint="eastAsia" w:cs="宋体"/>
          <w:spacing w:val="-2"/>
          <w:sz w:val="21"/>
          <w:szCs w:val="21"/>
          <w:highlight w:val="none"/>
          <w:lang w:bidi="ar"/>
        </w:rPr>
        <w:t xml:space="preserve">本公司</w:t>
      </w:r>
      <w:r>
        <w:rPr>
          <w:rFonts w:hint="eastAsia" w:cs="宋体"/>
          <w:sz w:val="21"/>
          <w:szCs w:val="21"/>
          <w:highlight w:val="none"/>
          <w:lang w:bidi="ar"/>
        </w:rPr>
        <w:t xml:space="preserve">（联合体</w:t>
      </w:r>
      <w:r>
        <w:rPr>
          <w:rFonts w:hint="eastAsia" w:cs="宋体"/>
          <w:spacing w:val="-5"/>
          <w:sz w:val="21"/>
          <w:szCs w:val="21"/>
          <w:highlight w:val="none"/>
          <w:lang w:bidi="ar"/>
        </w:rPr>
        <w:t xml:space="preserve">）</w:t>
      </w:r>
      <w:r>
        <w:rPr>
          <w:rFonts w:hint="eastAsia" w:cs="宋体"/>
          <w:spacing w:val="-2"/>
          <w:sz w:val="21"/>
          <w:szCs w:val="21"/>
          <w:highlight w:val="none"/>
          <w:lang w:bidi="ar"/>
        </w:rPr>
        <w:t xml:space="preserve">郑重声明，根据</w:t>
      </w:r>
      <w:r>
        <w:rPr>
          <w:rFonts w:hint="eastAsia" w:cs="宋体"/>
          <w:sz w:val="21"/>
          <w:szCs w:val="21"/>
          <w:highlight w:val="none"/>
          <w:lang w:bidi="ar"/>
        </w:rPr>
        <w:t xml:space="preserve">《关于印发&lt;苏州市政府采购促进中小企业发展实施意见&gt;的通知》（苏财购[2022]16号）的规定，本公司（联合体）</w:t>
      </w:r>
      <w:r>
        <w:rPr>
          <w:rFonts w:hint="eastAsia" w:cs="宋体"/>
          <w:spacing w:val="-8"/>
          <w:sz w:val="21"/>
          <w:szCs w:val="21"/>
          <w:highlight w:val="none"/>
          <w:lang w:bidi="ar"/>
        </w:rPr>
        <w:t xml:space="preserve">参</w:t>
      </w:r>
      <w:r>
        <w:rPr>
          <w:rFonts w:hint="eastAsia" w:cs="宋体"/>
          <w:spacing w:val="-2"/>
          <w:sz w:val="21"/>
          <w:szCs w:val="21"/>
          <w:highlight w:val="none"/>
          <w:lang w:bidi="ar"/>
        </w:rPr>
        <w:t xml:space="preserve">加</w:t>
      </w:r>
      <w:r>
        <w:rPr>
          <w:rFonts w:hint="eastAsia" w:cs="宋体"/>
          <w:spacing w:val="-2"/>
          <w:sz w:val="21"/>
          <w:szCs w:val="21"/>
          <w:highlight w:val="none"/>
          <w:u w:val="single"/>
          <w:lang w:bidi="ar"/>
        </w:rPr>
        <w:t xml:space="preserve">（单位名称）</w:t>
      </w:r>
      <w:r>
        <w:rPr>
          <w:rFonts w:hint="eastAsia" w:cs="宋体"/>
          <w:spacing w:val="-2"/>
          <w:sz w:val="21"/>
          <w:szCs w:val="21"/>
          <w:highlight w:val="none"/>
          <w:lang w:bidi="ar"/>
        </w:rPr>
        <w:t xml:space="preserve">的</w:t>
      </w:r>
      <w:r>
        <w:rPr>
          <w:rFonts w:hint="eastAsia" w:cs="宋体"/>
          <w:spacing w:val="-2"/>
          <w:sz w:val="21"/>
          <w:szCs w:val="21"/>
          <w:highlight w:val="none"/>
          <w:u w:val="single"/>
          <w:lang w:bidi="ar"/>
        </w:rPr>
        <w:t xml:space="preserve">（项目名称）</w:t>
      </w:r>
      <w:r>
        <w:rPr>
          <w:rFonts w:hint="eastAsia" w:cs="宋体"/>
          <w:spacing w:val="-2"/>
          <w:sz w:val="21"/>
          <w:szCs w:val="21"/>
          <w:highlight w:val="none"/>
          <w:lang w:bidi="ar"/>
        </w:rPr>
        <w:t xml:space="preserve">采购活</w:t>
      </w:r>
      <w:r>
        <w:rPr>
          <w:rFonts w:hint="eastAsia" w:cs="宋体"/>
          <w:spacing w:val="-1"/>
          <w:sz w:val="21"/>
          <w:szCs w:val="21"/>
          <w:highlight w:val="none"/>
          <w:lang w:bidi="ar"/>
        </w:rPr>
        <w:t xml:space="preserve">动，</w:t>
      </w:r>
      <w:r>
        <w:rPr>
          <w:rFonts w:hint="eastAsia" w:cs="宋体"/>
          <w:spacing w:val="-2"/>
          <w:sz w:val="21"/>
          <w:szCs w:val="21"/>
          <w:highlight w:val="none"/>
          <w:lang w:bidi="ar"/>
        </w:rPr>
        <w:t xml:space="preserve">提供的货物全部由符合政策要求的中小企业制造。相关企业（含联合体中的中小企业、签订分包</w:t>
      </w:r>
      <w:r>
        <w:rPr>
          <w:rFonts w:hint="eastAsia" w:cs="宋体"/>
          <w:sz w:val="21"/>
          <w:szCs w:val="21"/>
          <w:highlight w:val="none"/>
          <w:lang w:bidi="ar"/>
        </w:rPr>
        <w:t xml:space="preserve">意向协议的中小企业） 的具体情况如下：</w:t>
      </w:r>
      <w:r/>
    </w:p>
    <w:p>
      <w:pPr>
        <w:pStyle w:val="1211"/>
        <w:ind w:firstLine="472"/>
        <w:widowControl/>
        <w:rPr>
          <w:szCs w:val="21"/>
          <w:highlight w:val="none"/>
        </w:rPr>
      </w:pPr>
      <w:r>
        <w:rPr>
          <w:rFonts w:hint="eastAsia" w:ascii="宋体" w:hAnsi="宋体" w:cs="宋体"/>
          <w:spacing w:val="-2"/>
          <w:szCs w:val="21"/>
          <w:highlight w:val="none"/>
        </w:rPr>
        <w:t xml:space="preserve">1、</w:t>
      </w:r>
      <w:r>
        <w:rPr>
          <w:rFonts w:hint="eastAsia" w:ascii="宋体" w:hAnsi="宋体" w:cs="宋体"/>
          <w:spacing w:val="-2"/>
          <w:szCs w:val="21"/>
          <w:highlight w:val="none"/>
          <w:u w:val="single"/>
        </w:rPr>
        <w:t xml:space="preserve">（标的名称）</w:t>
      </w:r>
      <w:r>
        <w:rPr>
          <w:rFonts w:hint="eastAsia" w:ascii="宋体" w:hAnsi="宋体" w:cs="宋体"/>
          <w:spacing w:val="-2"/>
          <w:szCs w:val="21"/>
          <w:highlight w:val="none"/>
        </w:rPr>
        <w:t xml:space="preserve">，属于</w:t>
      </w:r>
      <w:r>
        <w:rPr>
          <w:rFonts w:hint="eastAsia" w:ascii="宋体" w:hAnsi="宋体" w:cs="宋体"/>
          <w:spacing w:val="-2"/>
          <w:szCs w:val="21"/>
          <w:highlight w:val="none"/>
          <w:u w:val="single"/>
        </w:rPr>
        <w:t xml:space="preserve">（采购文件中明确的所属行业）</w:t>
      </w:r>
      <w:r>
        <w:rPr>
          <w:rFonts w:hint="eastAsia" w:ascii="宋体" w:hAnsi="宋体" w:cs="宋体"/>
          <w:spacing w:val="-2"/>
          <w:szCs w:val="21"/>
          <w:highlight w:val="none"/>
        </w:rPr>
        <w:t xml:space="preserve">行业；制造商为</w:t>
      </w:r>
      <w:r>
        <w:rPr>
          <w:rFonts w:hint="eastAsia" w:ascii="宋体" w:hAnsi="宋体" w:cs="宋体"/>
          <w:spacing w:val="-2"/>
          <w:szCs w:val="21"/>
          <w:highlight w:val="none"/>
          <w:u w:val="single"/>
        </w:rPr>
        <w:t xml:space="preserve">（企业名称）</w:t>
      </w:r>
      <w:r>
        <w:rPr>
          <w:rFonts w:hint="eastAsia" w:ascii="宋体" w:hAnsi="宋体" w:cs="宋体"/>
          <w:spacing w:val="-2"/>
          <w:szCs w:val="21"/>
          <w:highlight w:val="none"/>
        </w:rPr>
        <w:t xml:space="preserve">，从业人员</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rPr>
        <w:t xml:space="preserve">人，营业收入为</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rPr>
        <w:t xml:space="preserve">万元，资产总额为</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rPr>
        <w:t xml:space="preserve">万元，属于</w:t>
      </w:r>
      <w:r>
        <w:rPr>
          <w:rFonts w:hint="eastAsia" w:ascii="宋体" w:hAnsi="宋体" w:cs="宋体"/>
          <w:spacing w:val="-2"/>
          <w:szCs w:val="21"/>
          <w:highlight w:val="none"/>
          <w:u w:val="single"/>
        </w:rPr>
        <w:t xml:space="preserve">   （中型企业、小型企业、微型企业）</w:t>
      </w:r>
      <w:r>
        <w:rPr>
          <w:rFonts w:hint="eastAsia" w:ascii="宋体" w:hAnsi="宋体" w:cs="宋体"/>
          <w:spacing w:val="-2"/>
          <w:szCs w:val="21"/>
          <w:highlight w:val="none"/>
        </w:rPr>
        <w:t xml:space="preserve">；</w:t>
      </w:r>
      <w:r/>
    </w:p>
    <w:p>
      <w:pPr>
        <w:pStyle w:val="1211"/>
        <w:ind w:firstLine="472"/>
        <w:widowControl/>
        <w:rPr>
          <w:szCs w:val="21"/>
          <w:highlight w:val="none"/>
        </w:rPr>
      </w:pPr>
      <w:r>
        <w:rPr>
          <w:rFonts w:hint="eastAsia" w:ascii="宋体" w:hAnsi="宋体" w:cs="宋体"/>
          <w:spacing w:val="-2"/>
          <w:szCs w:val="21"/>
          <w:highlight w:val="none"/>
        </w:rPr>
        <w:t xml:space="preserve">2、</w:t>
      </w:r>
      <w:r>
        <w:rPr>
          <w:rFonts w:hint="eastAsia" w:ascii="宋体" w:hAnsi="宋体" w:cs="宋体"/>
          <w:spacing w:val="-2"/>
          <w:szCs w:val="21"/>
          <w:highlight w:val="none"/>
          <w:u w:val="single"/>
        </w:rPr>
        <w:t xml:space="preserve">（标的名称）</w:t>
      </w:r>
      <w:r>
        <w:rPr>
          <w:rFonts w:hint="eastAsia" w:ascii="宋体" w:hAnsi="宋体" w:cs="宋体"/>
          <w:spacing w:val="-2"/>
          <w:szCs w:val="21"/>
          <w:highlight w:val="none"/>
        </w:rPr>
        <w:t xml:space="preserve">，属于</w:t>
      </w:r>
      <w:r>
        <w:rPr>
          <w:rFonts w:hint="eastAsia" w:ascii="宋体" w:hAnsi="宋体" w:cs="宋体"/>
          <w:spacing w:val="-2"/>
          <w:szCs w:val="21"/>
          <w:highlight w:val="none"/>
          <w:u w:val="single"/>
        </w:rPr>
        <w:t xml:space="preserve">（采购文件中明确的所属行业）</w:t>
      </w:r>
      <w:r>
        <w:rPr>
          <w:rFonts w:hint="eastAsia" w:ascii="宋体" w:hAnsi="宋体" w:cs="宋体"/>
          <w:spacing w:val="-2"/>
          <w:szCs w:val="21"/>
          <w:highlight w:val="none"/>
        </w:rPr>
        <w:t xml:space="preserve">行业；制造商为</w:t>
      </w:r>
      <w:r>
        <w:rPr>
          <w:rFonts w:hint="eastAsia" w:ascii="宋体" w:hAnsi="宋体" w:cs="宋体"/>
          <w:spacing w:val="-2"/>
          <w:szCs w:val="21"/>
          <w:highlight w:val="none"/>
          <w:u w:val="single"/>
        </w:rPr>
        <w:t xml:space="preserve">（企业名称）</w:t>
      </w:r>
      <w:r>
        <w:rPr>
          <w:rFonts w:hint="eastAsia" w:ascii="宋体" w:hAnsi="宋体" w:cs="宋体"/>
          <w:spacing w:val="-2"/>
          <w:szCs w:val="21"/>
          <w:highlight w:val="none"/>
        </w:rPr>
        <w:t xml:space="preserve">，从业人员</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rPr>
        <w:t xml:space="preserve">人，营业收入为</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rPr>
        <w:t xml:space="preserve">万元，资产总额为</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rPr>
        <w:t xml:space="preserve">万元，属于</w:t>
      </w:r>
      <w:r>
        <w:rPr>
          <w:rFonts w:hint="eastAsia" w:ascii="宋体" w:hAnsi="宋体" w:cs="宋体"/>
          <w:spacing w:val="-2"/>
          <w:szCs w:val="21"/>
          <w:highlight w:val="none"/>
          <w:u w:val="single"/>
        </w:rPr>
        <w:t xml:space="preserve">     （中型企业、小型企业、微型企业）</w:t>
      </w:r>
      <w:r>
        <w:rPr>
          <w:rFonts w:hint="eastAsia" w:ascii="宋体" w:hAnsi="宋体" w:cs="宋体"/>
          <w:spacing w:val="-2"/>
          <w:szCs w:val="21"/>
          <w:highlight w:val="none"/>
        </w:rPr>
        <w:t xml:space="preserve">；</w:t>
      </w:r>
      <w:r/>
    </w:p>
    <w:p>
      <w:pPr>
        <w:pStyle w:val="733"/>
        <w:jc w:val="both"/>
        <w:spacing w:before="0" w:beforeAutospacing="0" w:after="120" w:afterAutospacing="0" w:line="360" w:lineRule="auto"/>
        <w:widowControl w:val="off"/>
        <w:rPr>
          <w:sz w:val="21"/>
          <w:szCs w:val="21"/>
          <w:highlight w:val="none"/>
        </w:rPr>
      </w:pPr>
      <w:r>
        <w:rPr>
          <w:rFonts w:hint="eastAsia" w:cs="宋体"/>
          <w:spacing w:val="-2"/>
          <w:sz w:val="21"/>
          <w:szCs w:val="21"/>
          <w:highlight w:val="none"/>
          <w:lang w:bidi="ar"/>
        </w:rPr>
        <w:t xml:space="preserve">……</w:t>
      </w:r>
      <w:r/>
    </w:p>
    <w:p>
      <w:pPr>
        <w:pStyle w:val="733"/>
        <w:ind w:firstLine="645"/>
        <w:jc w:val="both"/>
        <w:spacing w:before="0" w:beforeAutospacing="0" w:after="120" w:afterAutospacing="0" w:line="360" w:lineRule="auto"/>
        <w:widowControl w:val="off"/>
        <w:rPr>
          <w:sz w:val="21"/>
          <w:szCs w:val="21"/>
          <w:highlight w:val="none"/>
        </w:rPr>
      </w:pPr>
      <w:r>
        <w:rPr>
          <w:rFonts w:hint="eastAsia" w:cs="宋体"/>
          <w:spacing w:val="-3"/>
          <w:sz w:val="21"/>
          <w:szCs w:val="21"/>
          <w:highlight w:val="none"/>
          <w:lang w:bidi="ar"/>
        </w:rPr>
        <w:t xml:space="preserve">以上企业，不属于大企业的分支机构，不存在控股股东</w:t>
      </w:r>
      <w:r>
        <w:rPr>
          <w:rFonts w:hint="eastAsia" w:cs="宋体"/>
          <w:spacing w:val="-5"/>
          <w:sz w:val="21"/>
          <w:szCs w:val="21"/>
          <w:highlight w:val="none"/>
          <w:lang w:bidi="ar"/>
        </w:rPr>
        <w:t xml:space="preserve">为大企业的情形，也不存在与大企业的负责人为同一人的情形。</w:t>
      </w:r>
      <w:r/>
    </w:p>
    <w:p>
      <w:pPr>
        <w:pStyle w:val="733"/>
        <w:ind w:firstLine="645"/>
        <w:jc w:val="both"/>
        <w:spacing w:before="0" w:beforeAutospacing="0" w:after="0" w:afterAutospacing="0" w:line="360" w:lineRule="auto"/>
        <w:widowControl w:val="off"/>
        <w:rPr>
          <w:sz w:val="21"/>
          <w:szCs w:val="21"/>
          <w:highlight w:val="none"/>
        </w:rPr>
      </w:pPr>
      <w:r>
        <w:rPr>
          <w:rFonts w:hint="eastAsia" w:cs="宋体"/>
          <w:sz w:val="21"/>
          <w:szCs w:val="21"/>
          <w:highlight w:val="none"/>
          <w:lang w:bidi="ar"/>
        </w:rPr>
        <w:t xml:space="preserve">本企业对上述声明内容的真实性负责。如有虚假，将依法承担相应责任。</w:t>
      </w:r>
      <w:r/>
    </w:p>
    <w:p>
      <w:pPr>
        <w:ind w:firstLine="600"/>
        <w:spacing w:line="360" w:lineRule="auto"/>
        <w:rPr>
          <w:sz w:val="21"/>
          <w:szCs w:val="21"/>
          <w:highlight w:val="none"/>
        </w:rPr>
      </w:pPr>
      <w:r>
        <w:rPr>
          <w:sz w:val="21"/>
          <w:szCs w:val="21"/>
          <w:highlight w:val="none"/>
        </w:rPr>
      </w:r>
      <w:r/>
    </w:p>
    <w:p>
      <w:pPr>
        <w:pStyle w:val="733"/>
        <w:ind w:firstLine="240"/>
        <w:jc w:val="both"/>
        <w:spacing w:before="0" w:beforeAutospacing="0" w:after="0" w:afterAutospacing="0" w:line="360" w:lineRule="auto"/>
        <w:widowControl w:val="off"/>
        <w:rPr>
          <w:sz w:val="21"/>
          <w:szCs w:val="21"/>
          <w:highlight w:val="none"/>
        </w:rPr>
      </w:pPr>
      <w:r>
        <w:rPr>
          <w:sz w:val="21"/>
          <w:szCs w:val="21"/>
          <w:highlight w:val="none"/>
        </w:rPr>
      </w:r>
      <w:r/>
    </w:p>
    <w:p>
      <w:pPr>
        <w:jc w:val="center"/>
        <w:spacing w:line="360" w:lineRule="auto"/>
        <w:rPr>
          <w:sz w:val="21"/>
          <w:szCs w:val="21"/>
          <w:highlight w:val="none"/>
        </w:rPr>
      </w:pPr>
      <w:r>
        <w:rPr>
          <w:rFonts w:hint="eastAsia" w:ascii="宋体" w:hAnsi="宋体" w:eastAsia="宋体" w:cs="宋体"/>
          <w:sz w:val="21"/>
          <w:szCs w:val="21"/>
          <w:highlight w:val="none"/>
          <w:lang w:bidi="ar"/>
        </w:rPr>
        <w:t xml:space="preserve">                                                 投标单位：（盖章）</w:t>
      </w:r>
      <w:r/>
    </w:p>
    <w:p>
      <w:pPr>
        <w:jc w:val="center"/>
        <w:spacing w:line="360" w:lineRule="auto"/>
        <w:rPr>
          <w:sz w:val="21"/>
          <w:szCs w:val="21"/>
          <w:highlight w:val="none"/>
        </w:rPr>
      </w:pPr>
      <w:r>
        <w:rPr>
          <w:rFonts w:hint="eastAsia" w:ascii="宋体" w:hAnsi="宋体" w:eastAsia="宋体" w:cs="宋体"/>
          <w:sz w:val="21"/>
          <w:szCs w:val="21"/>
          <w:highlight w:val="none"/>
          <w:lang w:bidi="ar"/>
        </w:rPr>
        <w:t xml:space="preserve">                                                   </w:t>
      </w:r>
      <w:r>
        <w:rPr>
          <w:rFonts w:ascii="宋体" w:hAnsi="宋体" w:eastAsia="宋体" w:cs="宋体"/>
          <w:sz w:val="21"/>
          <w:szCs w:val="21"/>
          <w:highlight w:val="none"/>
          <w:lang w:bidi="ar"/>
        </w:rPr>
        <w:t xml:space="preserve">     </w:t>
      </w:r>
      <w:r>
        <w:rPr>
          <w:rFonts w:hint="eastAsia" w:ascii="宋体" w:hAnsi="宋体" w:eastAsia="宋体" w:cs="宋体"/>
          <w:sz w:val="21"/>
          <w:szCs w:val="21"/>
          <w:highlight w:val="none"/>
          <w:lang w:bidi="ar"/>
        </w:rPr>
        <w:t xml:space="preserve"> 日    期：</w:t>
      </w:r>
      <w:r>
        <w:rPr>
          <w:rFonts w:hint="eastAsia" w:ascii="宋体" w:hAnsi="宋体" w:eastAsia="宋体"/>
          <w:sz w:val="21"/>
          <w:szCs w:val="21"/>
          <w:highlight w:val="none"/>
        </w:rPr>
        <w:t xml:space="preserve"> </w:t>
      </w:r>
      <w:r>
        <w:rPr>
          <w:rFonts w:ascii="宋体" w:hAnsi="宋体" w:eastAsia="宋体"/>
          <w:sz w:val="21"/>
          <w:szCs w:val="21"/>
          <w:highlight w:val="none"/>
        </w:rPr>
        <w:t xml:space="preserve">   </w:t>
      </w:r>
      <w:r>
        <w:rPr>
          <w:rFonts w:hint="eastAsia" w:ascii="宋体" w:hAnsi="宋体" w:eastAsia="宋体"/>
          <w:sz w:val="21"/>
          <w:szCs w:val="21"/>
          <w:highlight w:val="none"/>
        </w:rPr>
        <w:t xml:space="preserve">年 </w:t>
      </w:r>
      <w:r>
        <w:rPr>
          <w:rFonts w:ascii="宋体" w:hAnsi="宋体" w:eastAsia="宋体"/>
          <w:sz w:val="21"/>
          <w:szCs w:val="21"/>
          <w:highlight w:val="none"/>
        </w:rPr>
        <w:t xml:space="preserve">  </w:t>
      </w:r>
      <w:r>
        <w:rPr>
          <w:rFonts w:hint="eastAsia" w:ascii="宋体" w:hAnsi="宋体" w:eastAsia="宋体"/>
          <w:sz w:val="21"/>
          <w:szCs w:val="21"/>
          <w:highlight w:val="none"/>
        </w:rPr>
        <w:t xml:space="preserve">月 </w:t>
      </w:r>
      <w:r>
        <w:rPr>
          <w:rFonts w:ascii="宋体" w:hAnsi="宋体" w:eastAsia="宋体"/>
          <w:sz w:val="21"/>
          <w:szCs w:val="21"/>
          <w:highlight w:val="none"/>
        </w:rPr>
        <w:t xml:space="preserve">  </w:t>
      </w:r>
      <w:r>
        <w:rPr>
          <w:rFonts w:hint="eastAsia" w:ascii="宋体" w:hAnsi="宋体" w:eastAsia="宋体"/>
          <w:sz w:val="21"/>
          <w:szCs w:val="21"/>
          <w:highlight w:val="none"/>
        </w:rPr>
        <w:t xml:space="preserve"> 日</w:t>
      </w:r>
      <w:r/>
    </w:p>
    <w:p>
      <w:pPr>
        <w:rPr>
          <w:rFonts w:ascii="宋体" w:hAnsi="宋体" w:eastAsia="宋体" w:cs="宋体"/>
          <w:b/>
          <w:sz w:val="21"/>
          <w:szCs w:val="21"/>
          <w:highlight w:val="none"/>
        </w:rPr>
      </w:pPr>
      <w:r>
        <w:rPr>
          <w:rFonts w:ascii="宋体" w:hAnsi="宋体" w:eastAsia="宋体"/>
          <w:sz w:val="21"/>
          <w:szCs w:val="21"/>
          <w:highlight w:val="none"/>
        </w:rPr>
        <w:br w:type="page" w:clear="all"/>
      </w:r>
      <w:r>
        <w:rPr>
          <w:rFonts w:hint="eastAsia" w:ascii="宋体" w:hAnsi="宋体" w:eastAsia="宋体" w:cs="宋体"/>
          <w:b/>
          <w:sz w:val="21"/>
          <w:szCs w:val="21"/>
          <w:highlight w:val="none"/>
        </w:rPr>
        <w:t xml:space="preserve">附：中小企业划型标准规定</w:t>
      </w:r>
      <w:r/>
    </w:p>
    <w:p>
      <w:pPr>
        <w:ind w:firstLine="422"/>
        <w:spacing w:line="280" w:lineRule="exact"/>
        <w:rPr>
          <w:rFonts w:ascii="宋体" w:hAnsi="宋体" w:eastAsia="宋体" w:cs="宋体"/>
          <w:sz w:val="21"/>
          <w:szCs w:val="21"/>
          <w:highlight w:val="none"/>
        </w:rPr>
      </w:pPr>
      <w:r>
        <w:rPr>
          <w:rFonts w:hint="eastAsia" w:ascii="宋体" w:hAnsi="宋体" w:eastAsia="宋体" w:cs="宋体"/>
          <w:b/>
          <w:sz w:val="21"/>
          <w:szCs w:val="21"/>
          <w:highlight w:val="none"/>
        </w:rPr>
        <w:t xml:space="preserve">（一）农、林、牧、渔业。</w:t>
      </w:r>
      <w:r>
        <w:rPr>
          <w:rFonts w:hint="eastAsia" w:ascii="宋体" w:hAnsi="宋体" w:eastAsia="宋体" w:cs="宋体"/>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280" w:lineRule="exact"/>
        <w:rPr>
          <w:rFonts w:ascii="宋体" w:hAnsi="宋体" w:eastAsia="宋体" w:cs="宋体"/>
          <w:sz w:val="21"/>
          <w:szCs w:val="21"/>
          <w:highlight w:val="none"/>
        </w:rPr>
      </w:pPr>
      <w:r>
        <w:rPr>
          <w:rFonts w:hint="eastAsia" w:ascii="宋体" w:hAnsi="宋体" w:eastAsia="宋体" w:cs="宋体"/>
          <w:b/>
          <w:sz w:val="21"/>
          <w:szCs w:val="21"/>
          <w:highlight w:val="none"/>
        </w:rPr>
        <w:t xml:space="preserve">（二）工业。</w:t>
      </w:r>
      <w:r>
        <w:rPr>
          <w:rFonts w:hint="eastAsia" w:ascii="宋体" w:hAnsi="宋体" w:eastAsia="宋体" w:cs="宋体"/>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280" w:lineRule="exact"/>
        <w:rPr>
          <w:rFonts w:ascii="宋体" w:hAnsi="宋体" w:eastAsia="宋体" w:cs="宋体"/>
          <w:sz w:val="21"/>
          <w:szCs w:val="21"/>
          <w:highlight w:val="none"/>
        </w:rPr>
      </w:pPr>
      <w:r>
        <w:rPr>
          <w:rFonts w:hint="eastAsia" w:ascii="宋体" w:hAnsi="宋体" w:eastAsia="宋体" w:cs="宋体"/>
          <w:b/>
          <w:sz w:val="21"/>
          <w:szCs w:val="21"/>
          <w:highlight w:val="none"/>
        </w:rPr>
        <w:t xml:space="preserve">（三）建筑业。</w:t>
      </w:r>
      <w:r>
        <w:rPr>
          <w:rFonts w:hint="eastAsia" w:ascii="宋体" w:hAnsi="宋体" w:eastAsia="宋体" w:cs="宋体"/>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280" w:lineRule="exact"/>
        <w:rPr>
          <w:rFonts w:ascii="宋体" w:hAnsi="宋体" w:eastAsia="宋体" w:cs="宋体"/>
          <w:sz w:val="21"/>
          <w:szCs w:val="21"/>
          <w:highlight w:val="none"/>
        </w:rPr>
      </w:pPr>
      <w:r>
        <w:rPr>
          <w:rFonts w:hint="eastAsia" w:ascii="宋体" w:hAnsi="宋体" w:eastAsia="宋体" w:cs="宋体"/>
          <w:b/>
          <w:sz w:val="21"/>
          <w:szCs w:val="21"/>
          <w:highlight w:val="none"/>
        </w:rPr>
        <w:t xml:space="preserve">（四）批发业。</w:t>
      </w:r>
      <w:r>
        <w:rPr>
          <w:rFonts w:hint="eastAsia" w:ascii="宋体" w:hAnsi="宋体" w:eastAsia="宋体" w:cs="宋体"/>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280" w:lineRule="exact"/>
        <w:rPr>
          <w:rFonts w:ascii="宋体" w:hAnsi="宋体" w:eastAsia="宋体" w:cs="宋体"/>
          <w:sz w:val="21"/>
          <w:szCs w:val="21"/>
          <w:highlight w:val="none"/>
        </w:rPr>
      </w:pPr>
      <w:r>
        <w:rPr>
          <w:rFonts w:hint="eastAsia" w:ascii="宋体" w:hAnsi="宋体" w:eastAsia="宋体" w:cs="宋体"/>
          <w:b/>
          <w:sz w:val="21"/>
          <w:szCs w:val="21"/>
          <w:highlight w:val="none"/>
        </w:rPr>
        <w:t xml:space="preserve">（五）零售业。</w:t>
      </w:r>
      <w:r>
        <w:rPr>
          <w:rFonts w:hint="eastAsia" w:ascii="宋体" w:hAnsi="宋体" w:eastAsia="宋体" w:cs="宋体"/>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eastAsia="宋体" w:cs="宋体"/>
          <w:sz w:val="21"/>
          <w:szCs w:val="21"/>
          <w:highlight w:val="none"/>
        </w:rPr>
      </w:pPr>
      <w:r>
        <w:rPr>
          <w:rFonts w:hint="eastAsia" w:ascii="宋体" w:hAnsi="宋体" w:eastAsia="宋体" w:cs="宋体"/>
          <w:b/>
          <w:sz w:val="21"/>
          <w:szCs w:val="21"/>
          <w:highlight w:val="none"/>
        </w:rPr>
        <w:t xml:space="preserve">（六）交通运输业。</w:t>
      </w:r>
      <w:r>
        <w:rPr>
          <w:rFonts w:hint="eastAsia" w:ascii="宋体" w:hAnsi="宋体" w:eastAsia="宋体" w:cs="宋体"/>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280" w:lineRule="exact"/>
        <w:rPr>
          <w:rFonts w:ascii="宋体" w:hAnsi="宋体" w:eastAsia="宋体" w:cs="宋体"/>
          <w:sz w:val="21"/>
          <w:szCs w:val="21"/>
          <w:highlight w:val="none"/>
        </w:rPr>
      </w:pPr>
      <w:r>
        <w:rPr>
          <w:rFonts w:hint="eastAsia" w:ascii="宋体" w:hAnsi="宋体" w:eastAsia="宋体" w:cs="宋体"/>
          <w:b/>
          <w:sz w:val="21"/>
          <w:szCs w:val="21"/>
          <w:highlight w:val="none"/>
        </w:rPr>
        <w:t xml:space="preserve">（七）仓储业。</w:t>
      </w:r>
      <w:r>
        <w:rPr>
          <w:rFonts w:hint="eastAsia" w:ascii="宋体" w:hAnsi="宋体" w:eastAsia="宋体" w:cs="宋体"/>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280" w:lineRule="exact"/>
        <w:rPr>
          <w:rFonts w:ascii="宋体" w:hAnsi="宋体" w:eastAsia="宋体" w:cs="宋体"/>
          <w:sz w:val="21"/>
          <w:szCs w:val="21"/>
          <w:highlight w:val="none"/>
        </w:rPr>
      </w:pPr>
      <w:r>
        <w:rPr>
          <w:rFonts w:hint="eastAsia" w:ascii="宋体" w:hAnsi="宋体" w:eastAsia="宋体" w:cs="宋体"/>
          <w:b/>
          <w:sz w:val="21"/>
          <w:szCs w:val="21"/>
          <w:highlight w:val="none"/>
        </w:rPr>
        <w:t xml:space="preserve">（八）邮政业。</w:t>
      </w:r>
      <w:r>
        <w:rPr>
          <w:rFonts w:hint="eastAsia" w:ascii="宋体" w:hAnsi="宋体" w:eastAsia="宋体" w:cs="宋体"/>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280" w:lineRule="exact"/>
        <w:rPr>
          <w:rFonts w:ascii="宋体" w:hAnsi="宋体" w:eastAsia="宋体" w:cs="宋体"/>
          <w:sz w:val="21"/>
          <w:szCs w:val="21"/>
          <w:highlight w:val="none"/>
        </w:rPr>
      </w:pPr>
      <w:r>
        <w:rPr>
          <w:rFonts w:hint="eastAsia" w:ascii="宋体" w:hAnsi="宋体" w:eastAsia="宋体" w:cs="宋体"/>
          <w:b/>
          <w:sz w:val="21"/>
          <w:szCs w:val="21"/>
          <w:highlight w:val="none"/>
        </w:rPr>
        <w:t xml:space="preserve">（九）住宿业。</w:t>
      </w:r>
      <w:r>
        <w:rPr>
          <w:rFonts w:hint="eastAsia" w:ascii="宋体" w:hAnsi="宋体" w:eastAsia="宋体" w:cs="宋体"/>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eastAsia="宋体" w:cs="宋体"/>
          <w:sz w:val="21"/>
          <w:szCs w:val="21"/>
          <w:highlight w:val="none"/>
        </w:rPr>
      </w:pPr>
      <w:r>
        <w:rPr>
          <w:rFonts w:hint="eastAsia" w:ascii="宋体" w:hAnsi="宋体" w:eastAsia="宋体" w:cs="宋体"/>
          <w:b/>
          <w:sz w:val="21"/>
          <w:szCs w:val="21"/>
          <w:highlight w:val="none"/>
        </w:rPr>
        <w:t xml:space="preserve">（十）工业。</w:t>
      </w:r>
      <w:r>
        <w:rPr>
          <w:rFonts w:hint="eastAsia" w:ascii="宋体" w:hAnsi="宋体" w:eastAsia="宋体" w:cs="宋体"/>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eastAsia="宋体" w:cs="宋体"/>
          <w:sz w:val="21"/>
          <w:szCs w:val="21"/>
          <w:highlight w:val="none"/>
        </w:rPr>
      </w:pPr>
      <w:r>
        <w:rPr>
          <w:rFonts w:hint="eastAsia" w:ascii="宋体" w:hAnsi="宋体" w:eastAsia="宋体" w:cs="宋体"/>
          <w:b/>
          <w:sz w:val="21"/>
          <w:szCs w:val="21"/>
          <w:highlight w:val="none"/>
        </w:rPr>
        <w:t xml:space="preserve">（十一）信息传输业。</w:t>
      </w:r>
      <w:r>
        <w:rPr>
          <w:rFonts w:hint="eastAsia" w:ascii="宋体" w:hAnsi="宋体" w:eastAsia="宋体" w:cs="宋体"/>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eastAsia="宋体" w:cs="宋体"/>
          <w:sz w:val="21"/>
          <w:szCs w:val="21"/>
          <w:highlight w:val="none"/>
        </w:rPr>
      </w:pPr>
      <w:r>
        <w:rPr>
          <w:rFonts w:hint="eastAsia" w:ascii="宋体" w:hAnsi="宋体" w:eastAsia="宋体" w:cs="宋体"/>
          <w:b/>
          <w:sz w:val="21"/>
          <w:szCs w:val="21"/>
          <w:highlight w:val="none"/>
        </w:rPr>
        <w:t xml:space="preserve">（十二）软件和信息技术服务业。</w:t>
      </w:r>
      <w:r>
        <w:rPr>
          <w:rFonts w:hint="eastAsia" w:ascii="宋体" w:hAnsi="宋体" w:eastAsia="宋体" w:cs="宋体"/>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280" w:lineRule="exact"/>
        <w:rPr>
          <w:rFonts w:ascii="宋体" w:hAnsi="宋体" w:eastAsia="宋体" w:cs="宋体"/>
          <w:sz w:val="21"/>
          <w:szCs w:val="21"/>
          <w:highlight w:val="none"/>
        </w:rPr>
      </w:pPr>
      <w:r>
        <w:rPr>
          <w:rFonts w:hint="eastAsia" w:ascii="宋体" w:hAnsi="宋体" w:eastAsia="宋体" w:cs="宋体"/>
          <w:b/>
          <w:sz w:val="21"/>
          <w:szCs w:val="21"/>
          <w:highlight w:val="none"/>
        </w:rPr>
        <w:t xml:space="preserve">（十三）房地产开发经营。</w:t>
      </w:r>
      <w:r>
        <w:rPr>
          <w:rFonts w:hint="eastAsia" w:ascii="宋体" w:hAnsi="宋体" w:eastAsia="宋体" w:cs="宋体"/>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280" w:lineRule="exact"/>
        <w:rPr>
          <w:rFonts w:ascii="宋体" w:hAnsi="宋体" w:eastAsia="宋体" w:cs="宋体"/>
          <w:sz w:val="21"/>
          <w:szCs w:val="21"/>
          <w:highlight w:val="none"/>
        </w:rPr>
      </w:pPr>
      <w:r>
        <w:rPr>
          <w:rFonts w:hint="eastAsia" w:ascii="宋体" w:hAnsi="宋体" w:eastAsia="宋体" w:cs="宋体"/>
          <w:b/>
          <w:sz w:val="21"/>
          <w:szCs w:val="21"/>
          <w:highlight w:val="none"/>
        </w:rPr>
        <w:t xml:space="preserve">（十四）物业管理。</w:t>
      </w:r>
      <w:r>
        <w:rPr>
          <w:rFonts w:hint="eastAsia" w:ascii="宋体" w:hAnsi="宋体" w:eastAsia="宋体" w:cs="宋体"/>
          <w:sz w:val="21"/>
          <w:szCs w:val="21"/>
          <w:highlight w:val="none"/>
        </w:rPr>
        <w:t xml:space="preserve">从业人员1000人以下或营业收入5000万元以下的为中小微型企业。其中，从业人员</w:t>
      </w:r>
      <w:r/>
    </w:p>
    <w:p>
      <w:pPr>
        <w:spacing w:line="28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280" w:lineRule="exact"/>
        <w:rPr>
          <w:rFonts w:ascii="宋体" w:hAnsi="宋体" w:eastAsia="宋体" w:cs="宋体"/>
          <w:sz w:val="21"/>
          <w:szCs w:val="21"/>
          <w:highlight w:val="none"/>
        </w:rPr>
      </w:pPr>
      <w:r>
        <w:rPr>
          <w:rFonts w:hint="eastAsia" w:ascii="宋体" w:hAnsi="宋体" w:eastAsia="宋体" w:cs="宋体"/>
          <w:b/>
          <w:sz w:val="21"/>
          <w:szCs w:val="21"/>
          <w:highlight w:val="none"/>
        </w:rPr>
        <w:t xml:space="preserve">（十五）租赁和商务服务业。</w:t>
      </w:r>
      <w:r>
        <w:rPr>
          <w:rFonts w:hint="eastAsia" w:ascii="宋体" w:hAnsi="宋体" w:eastAsia="宋体" w:cs="宋体"/>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280" w:lineRule="exact"/>
        <w:rPr>
          <w:rFonts w:ascii="宋体" w:hAnsi="宋体" w:eastAsia="宋体" w:cs="宋体"/>
          <w:sz w:val="21"/>
          <w:szCs w:val="21"/>
          <w:highlight w:val="none"/>
        </w:rPr>
      </w:pPr>
      <w:r>
        <w:rPr>
          <w:rFonts w:hint="eastAsia" w:ascii="宋体" w:hAnsi="宋体" w:eastAsia="宋体" w:cs="宋体"/>
          <w:b/>
          <w:sz w:val="21"/>
          <w:szCs w:val="21"/>
          <w:highlight w:val="none"/>
        </w:rPr>
        <w:t xml:space="preserve">（十六）其他未列明行业。</w:t>
      </w:r>
      <w:r>
        <w:rPr>
          <w:rFonts w:hint="eastAsia" w:ascii="宋体" w:hAnsi="宋体" w:eastAsia="宋体" w:cs="宋体"/>
          <w:sz w:val="21"/>
          <w:szCs w:val="21"/>
          <w:highlight w:val="none"/>
        </w:rPr>
        <w:t xml:space="preserve">从业人员300人以下的为中小微型企业。其中，从业人员100人及以上的为中型企业；从业人员10人及以上的为小型企业；从业人员10人以下的为微型企业。</w:t>
      </w:r>
      <w:r/>
    </w:p>
    <w:p>
      <w:pPr>
        <w:pStyle w:val="939"/>
        <w:jc w:val="left"/>
        <w:spacing w:line="360" w:lineRule="auto"/>
        <w:rPr>
          <w:rFonts w:hAnsi="宋体" w:eastAsia="宋体"/>
          <w:b/>
          <w:sz w:val="21"/>
          <w:szCs w:val="21"/>
          <w:highlight w:val="none"/>
        </w:rPr>
      </w:pPr>
      <w:r>
        <w:rPr>
          <w:rFonts w:hint="eastAsia" w:hAnsi="宋体" w:eastAsia="宋体"/>
          <w:sz w:val="21"/>
          <w:szCs w:val="21"/>
          <w:highlight w:val="none"/>
        </w:rPr>
        <w:br w:type="page" w:clear="all"/>
      </w:r>
      <w:r>
        <w:rPr>
          <w:rFonts w:hint="eastAsia" w:hAnsi="宋体" w:eastAsia="宋体"/>
          <w:b/>
          <w:sz w:val="21"/>
          <w:szCs w:val="21"/>
          <w:highlight w:val="none"/>
        </w:rPr>
        <w:t xml:space="preserve">十、残疾人福利性单位声明函</w:t>
      </w:r>
      <w:r/>
    </w:p>
    <w:p>
      <w:pPr>
        <w:jc w:val="center"/>
        <w:spacing w:line="360" w:lineRule="auto"/>
        <w:rPr>
          <w:rFonts w:ascii="宋体" w:hAnsi="宋体" w:eastAsia="宋体" w:cs="宋体"/>
          <w:sz w:val="30"/>
          <w:szCs w:val="30"/>
          <w:highlight w:val="none"/>
          <w:u w:val="single"/>
          <w:lang w:val="zh-CN"/>
        </w:rPr>
      </w:pPr>
      <w:r>
        <w:rPr>
          <w:rFonts w:hint="eastAsia" w:ascii="宋体" w:hAnsi="宋体" w:eastAsia="宋体" w:cs="宋体"/>
          <w:b/>
          <w:sz w:val="30"/>
          <w:szCs w:val="30"/>
          <w:highlight w:val="none"/>
          <w:lang w:val="zh-CN"/>
        </w:rPr>
        <w:t xml:space="preserve">残疾人福利性单位声明函</w:t>
      </w:r>
      <w:r/>
    </w:p>
    <w:p>
      <w:pPr>
        <w:jc w:val="center"/>
        <w:spacing w:line="360" w:lineRule="auto"/>
        <w:rPr>
          <w:rFonts w:ascii="宋体" w:hAnsi="宋体" w:eastAsia="宋体" w:cs="宋体"/>
          <w:sz w:val="24"/>
          <w:szCs w:val="24"/>
          <w:highlight w:val="none"/>
          <w:u w:val="single"/>
          <w:lang w:val="zh-CN"/>
        </w:rPr>
      </w:pPr>
      <w:r>
        <w:rPr>
          <w:rFonts w:ascii="宋体" w:hAnsi="宋体" w:eastAsia="宋体" w:cs="宋体"/>
          <w:sz w:val="24"/>
          <w:szCs w:val="24"/>
          <w:highlight w:val="none"/>
          <w:u w:val="single"/>
          <w:lang w:val="zh-CN"/>
        </w:rPr>
      </w:r>
      <w:r/>
    </w:p>
    <w:p>
      <w:pPr>
        <w:spacing w:line="360" w:lineRule="auto"/>
        <w:rPr>
          <w:rFonts w:ascii="宋体" w:hAnsi="宋体" w:eastAsia="宋体" w:cs="宋体"/>
          <w:sz w:val="21"/>
          <w:szCs w:val="24"/>
          <w:highlight w:val="none"/>
          <w:lang w:val="zh-CN"/>
        </w:rPr>
      </w:pPr>
      <w:r>
        <w:rPr>
          <w:rFonts w:hint="eastAsia" w:ascii="宋体" w:hAnsi="宋体" w:eastAsia="宋体" w:cs="宋体"/>
          <w:sz w:val="21"/>
          <w:szCs w:val="24"/>
          <w:highlight w:val="none"/>
          <w:u w:val="single"/>
          <w:lang w:val="zh-CN"/>
        </w:rPr>
        <w:t xml:space="preserve">苏州嘉泓瑞项目管理咨询有限公司</w:t>
      </w:r>
      <w:r>
        <w:rPr>
          <w:rFonts w:hint="eastAsia" w:ascii="宋体" w:hAnsi="宋体" w:eastAsia="宋体" w:cs="宋体"/>
          <w:sz w:val="21"/>
          <w:szCs w:val="24"/>
          <w:highlight w:val="none"/>
          <w:lang w:val="zh-CN"/>
        </w:rPr>
        <w:t xml:space="preserve">：</w:t>
      </w:r>
      <w:r/>
    </w:p>
    <w:p>
      <w:pPr>
        <w:jc w:val="left"/>
        <w:spacing w:line="360" w:lineRule="auto"/>
        <w:rPr>
          <w:rFonts w:ascii="宋体" w:hAnsi="宋体" w:eastAsia="宋体"/>
          <w:b/>
          <w:sz w:val="21"/>
          <w:szCs w:val="21"/>
          <w:highlight w:val="none"/>
        </w:rPr>
      </w:pPr>
      <w:r>
        <w:rPr>
          <w:rFonts w:ascii="宋体" w:hAnsi="宋体" w:eastAsia="宋体"/>
          <w:b/>
          <w:sz w:val="21"/>
          <w:szCs w:val="21"/>
          <w:highlight w:val="none"/>
        </w:rPr>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本单位对上述声明的真实性负责。如有虚假，将依法承担相应责任。</w:t>
      </w:r>
      <w:r/>
    </w:p>
    <w:p>
      <w:pPr>
        <w:ind w:firstLine="420"/>
        <w:spacing w:line="360" w:lineRule="auto"/>
        <w:rPr>
          <w:rFonts w:ascii="宋体" w:hAnsi="宋体" w:eastAsia="宋体" w:cs="宋体"/>
          <w:sz w:val="21"/>
          <w:szCs w:val="21"/>
          <w:highlight w:val="none"/>
          <w:lang w:val="zh-CN"/>
        </w:rPr>
      </w:pPr>
      <w:r>
        <w:rPr>
          <w:rFonts w:ascii="宋体" w:hAnsi="宋体" w:eastAsia="宋体" w:cs="宋体"/>
          <w:sz w:val="21"/>
          <w:szCs w:val="21"/>
          <w:highlight w:val="none"/>
          <w:lang w:val="zh-CN"/>
        </w:rPr>
      </w:r>
      <w:r/>
    </w:p>
    <w:p>
      <w:pPr>
        <w:ind w:firstLine="420"/>
        <w:spacing w:line="360" w:lineRule="auto"/>
        <w:rPr>
          <w:rFonts w:ascii="宋体" w:hAnsi="宋体" w:eastAsia="宋体" w:cs="宋体"/>
          <w:sz w:val="21"/>
          <w:szCs w:val="21"/>
          <w:highlight w:val="none"/>
          <w:lang w:val="zh-CN"/>
        </w:rPr>
      </w:pPr>
      <w:r>
        <w:rPr>
          <w:rFonts w:hint="eastAsia" w:ascii="宋体" w:hAnsi="宋体" w:eastAsia="宋体"/>
          <w:sz w:val="21"/>
          <w:szCs w:val="21"/>
          <w:highlight w:val="none"/>
        </w:rPr>
        <w:t xml:space="preserve">投标人：（盖章）</w:t>
      </w:r>
      <w:r/>
    </w:p>
    <w:p>
      <w:pPr>
        <w:pStyle w:val="939"/>
        <w:ind w:firstLine="420"/>
        <w:spacing w:line="360" w:lineRule="auto"/>
        <w:rPr>
          <w:rFonts w:hAnsi="宋体" w:eastAsia="宋体"/>
          <w:sz w:val="21"/>
          <w:szCs w:val="21"/>
          <w:highlight w:val="none"/>
        </w:rPr>
      </w:pPr>
      <w:r>
        <w:rPr>
          <w:rFonts w:hint="eastAsia" w:hAnsi="宋体" w:eastAsia="宋体"/>
          <w:sz w:val="21"/>
          <w:szCs w:val="21"/>
          <w:highlight w:val="none"/>
        </w:rPr>
        <w:t xml:space="preserve">法定代表人或代理人：（签字或盖章）</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日期： </w:t>
      </w:r>
      <w:r>
        <w:rPr>
          <w:rFonts w:ascii="宋体" w:hAnsi="宋体" w:eastAsia="宋体"/>
          <w:sz w:val="21"/>
          <w:szCs w:val="21"/>
          <w:highlight w:val="none"/>
        </w:rPr>
        <w:t xml:space="preserve">   </w:t>
      </w:r>
      <w:r>
        <w:rPr>
          <w:rFonts w:hint="eastAsia" w:ascii="宋体" w:hAnsi="宋体" w:eastAsia="宋体"/>
          <w:sz w:val="21"/>
          <w:szCs w:val="21"/>
          <w:highlight w:val="none"/>
        </w:rPr>
        <w:t xml:space="preserve">年 </w:t>
      </w:r>
      <w:r>
        <w:rPr>
          <w:rFonts w:ascii="宋体" w:hAnsi="宋体" w:eastAsia="宋体"/>
          <w:sz w:val="21"/>
          <w:szCs w:val="21"/>
          <w:highlight w:val="none"/>
        </w:rPr>
        <w:t xml:space="preserve">  </w:t>
      </w:r>
      <w:r>
        <w:rPr>
          <w:rFonts w:hint="eastAsia" w:ascii="宋体" w:hAnsi="宋体" w:eastAsia="宋体"/>
          <w:sz w:val="21"/>
          <w:szCs w:val="21"/>
          <w:highlight w:val="none"/>
        </w:rPr>
        <w:t xml:space="preserve">月 </w:t>
      </w:r>
      <w:r>
        <w:rPr>
          <w:rFonts w:ascii="宋体" w:hAnsi="宋体" w:eastAsia="宋体"/>
          <w:sz w:val="21"/>
          <w:szCs w:val="21"/>
          <w:highlight w:val="none"/>
        </w:rPr>
        <w:t xml:space="preserve">  </w:t>
      </w:r>
      <w:r>
        <w:rPr>
          <w:rFonts w:hint="eastAsia" w:ascii="宋体" w:hAnsi="宋体" w:eastAsia="宋体"/>
          <w:sz w:val="21"/>
          <w:szCs w:val="21"/>
          <w:highlight w:val="none"/>
        </w:rPr>
        <w:t xml:space="preserve"> 日</w:t>
      </w:r>
      <w:r/>
    </w:p>
    <w:p>
      <w:pP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939"/>
        <w:jc w:val="left"/>
        <w:spacing w:line="360" w:lineRule="auto"/>
        <w:rPr>
          <w:rFonts w:hAnsi="宋体" w:eastAsia="宋体"/>
          <w:b/>
          <w:sz w:val="21"/>
          <w:szCs w:val="21"/>
          <w:highlight w:val="none"/>
        </w:rPr>
      </w:pPr>
      <w:r>
        <w:rPr>
          <w:rFonts w:hint="eastAsia" w:hAnsi="宋体" w:eastAsia="宋体"/>
          <w:b/>
          <w:sz w:val="21"/>
          <w:szCs w:val="21"/>
          <w:highlight w:val="none"/>
        </w:rPr>
        <w:br w:type="page" w:clear="all"/>
      </w:r>
      <w:bookmarkStart w:id="53" w:name="_Toc35951274"/>
      <w:r>
        <w:rPr>
          <w:rFonts w:hint="eastAsia" w:hAnsi="宋体" w:eastAsia="宋体"/>
          <w:b/>
          <w:sz w:val="21"/>
          <w:szCs w:val="21"/>
          <w:highlight w:val="none"/>
        </w:rPr>
        <w:t xml:space="preserve">十一、投标保证承诺书</w:t>
      </w:r>
      <w:r/>
    </w:p>
    <w:p>
      <w:pPr>
        <w:jc w:val="center"/>
        <w:spacing w:line="360" w:lineRule="auto"/>
        <w:rPr>
          <w:rFonts w:ascii="宋体" w:hAnsi="宋体" w:eastAsia="宋体" w:cs="宋体"/>
          <w:b/>
          <w:sz w:val="30"/>
          <w:szCs w:val="30"/>
          <w:highlight w:val="none"/>
        </w:rPr>
      </w:pPr>
      <w:r>
        <w:rPr>
          <w:rFonts w:hint="eastAsia" w:ascii="宋体" w:hAnsi="宋体" w:eastAsia="宋体" w:cs="宋体"/>
          <w:b/>
          <w:sz w:val="30"/>
          <w:szCs w:val="30"/>
          <w:highlight w:val="none"/>
        </w:rPr>
        <w:t xml:space="preserve">投标保证承诺书</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致：</w:t>
      </w:r>
      <w:r>
        <w:rPr>
          <w:rFonts w:hint="eastAsia" w:ascii="宋体" w:hAnsi="宋体" w:eastAsia="宋体" w:cs="宋体"/>
          <w:sz w:val="21"/>
          <w:szCs w:val="24"/>
          <w:highlight w:val="none"/>
          <w:u w:val="single"/>
          <w:lang w:val="zh-CN"/>
        </w:rPr>
        <w:t xml:space="preserve">苏州嘉泓瑞项目管理咨询有限公司</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我（单位/本人，以下统称我单位）自愿参加（项目名称和采购编号）的投标,并做出如下承诺：</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一、除不可抗力外，我单位如果发生以下行为，将在行为发生的10个工作日内，向贵方支付本采购文件公布的预算金额的2%作为违约赔偿金。</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1.自投标截止时间至本项目发布中标公告为止，撤销投标；</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2.中标后不依法与采购人签订合同；</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3.中标后不按本采购文件规定向采购人提交履约保证金；</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4.中标后不按本采购文件规定向贵方缴纳采购代理费。</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二、我单位知晓上述行为的法律后果，承认本承诺书作为贵方要求我单位履行违约赔偿义务的依据作用。</w:t>
      </w:r>
      <w:r/>
    </w:p>
    <w:p>
      <w:pPr>
        <w:ind w:firstLine="42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投标人：（盖章）</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法定代表人或代理人：（签字或盖章）</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地址：</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电话： </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传真：</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电子邮件： </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邮编：</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日期：</w:t>
      </w:r>
      <w:r/>
    </w:p>
    <w:p>
      <w:pPr>
        <w:jc w:val="center"/>
        <w:rPr>
          <w:rFonts w:ascii="宋体" w:hAnsi="宋体" w:eastAsia="宋体"/>
          <w:b/>
          <w:sz w:val="32"/>
          <w:szCs w:val="32"/>
          <w:highlight w:val="none"/>
        </w:rPr>
      </w:pPr>
      <w:r>
        <w:rPr>
          <w:rFonts w:ascii="宋体" w:hAnsi="宋体" w:eastAsia="宋体" w:cs="宋体"/>
          <w:bCs/>
          <w:sz w:val="24"/>
          <w:szCs w:val="24"/>
          <w:highlight w:val="none"/>
        </w:rPr>
        <w:br w:type="page" w:clear="all"/>
      </w:r>
      <w:r>
        <w:rPr>
          <w:rFonts w:hint="eastAsia" w:ascii="宋体" w:hAnsi="宋体" w:eastAsia="宋体"/>
          <w:b/>
          <w:sz w:val="32"/>
          <w:szCs w:val="32"/>
          <w:highlight w:val="none"/>
        </w:rPr>
        <w:t xml:space="preserve">第四章 招标书</w:t>
      </w:r>
      <w:bookmarkEnd w:id="53"/>
      <w:r/>
      <w:r/>
    </w:p>
    <w:p>
      <w:pPr>
        <w:ind w:firstLine="420"/>
        <w:spacing w:line="360" w:lineRule="auto"/>
        <w:tabs>
          <w:tab w:val="left" w:pos="567" w:leader="none"/>
        </w:tabs>
        <w:rPr>
          <w:rFonts w:ascii="宋体" w:hAnsi="宋体" w:eastAsia="宋体" w:cs="宋体"/>
          <w:sz w:val="21"/>
          <w:szCs w:val="21"/>
          <w:highlight w:val="none"/>
        </w:rPr>
      </w:pPr>
      <w:r>
        <w:rPr>
          <w:rFonts w:hint="eastAsia" w:ascii="宋体" w:hAnsi="宋体" w:eastAsia="宋体" w:cs="宋体"/>
          <w:sz w:val="21"/>
          <w:szCs w:val="21"/>
          <w:highlight w:val="none"/>
          <w:lang w:eastAsia="zh-CN"/>
        </w:rPr>
        <w:t xml:space="preserve">苏州嘉泓瑞项目管理咨询有限公司</w:t>
      </w:r>
      <w:r>
        <w:rPr>
          <w:rFonts w:hint="eastAsia" w:ascii="宋体" w:hAnsi="宋体" w:eastAsia="宋体" w:cs="宋体"/>
          <w:sz w:val="21"/>
          <w:szCs w:val="21"/>
          <w:highlight w:val="none"/>
        </w:rPr>
        <w:t xml:space="preserve">受</w:t>
      </w:r>
      <w:r>
        <w:rPr>
          <w:rFonts w:hint="eastAsia" w:ascii="宋体" w:hAnsi="宋体" w:eastAsia="宋体" w:cs="宋体"/>
          <w:sz w:val="21"/>
          <w:szCs w:val="21"/>
          <w:highlight w:val="none"/>
          <w:lang w:eastAsia="zh-CN"/>
        </w:rPr>
        <w:t xml:space="preserve">苏州市相城区人民政府北桥街道办事处</w:t>
      </w:r>
      <w:r>
        <w:rPr>
          <w:rFonts w:hint="eastAsia" w:ascii="宋体" w:hAnsi="宋体" w:eastAsia="宋体" w:cs="宋体"/>
          <w:sz w:val="21"/>
          <w:szCs w:val="21"/>
          <w:highlight w:val="none"/>
        </w:rPr>
        <w:t xml:space="preserve">的委托，就其所需的</w:t>
      </w:r>
      <w:r>
        <w:rPr>
          <w:rFonts w:hint="eastAsia" w:ascii="宋体" w:hAnsi="宋体" w:eastAsia="宋体" w:cs="宋体"/>
          <w:sz w:val="21"/>
          <w:szCs w:val="21"/>
          <w:highlight w:val="none"/>
          <w:lang w:eastAsia="zh-CN"/>
        </w:rPr>
        <w:t xml:space="preserve">北桥街道消防中队压缩空气泡沫消防车采购</w:t>
      </w:r>
      <w:r>
        <w:rPr>
          <w:rFonts w:hint="eastAsia" w:ascii="宋体" w:hAnsi="宋体" w:eastAsia="宋体" w:cs="宋体"/>
          <w:sz w:val="21"/>
          <w:szCs w:val="21"/>
          <w:highlight w:val="none"/>
        </w:rPr>
        <w:t xml:space="preserve">进行国内公开招标。欢迎符合资格条件的供应商前来参加投标。</w:t>
      </w:r>
      <w:r/>
    </w:p>
    <w:p>
      <w:pPr>
        <w:ind w:firstLine="422"/>
        <w:spacing w:line="360" w:lineRule="auto"/>
        <w:tabs>
          <w:tab w:val="left" w:pos="567" w:leader="none"/>
        </w:tabs>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rPr>
        <w:t xml:space="preserve">一、采购编号：</w:t>
      </w:r>
      <w:r>
        <w:rPr>
          <w:rFonts w:hint="eastAsia" w:ascii="宋体" w:hAnsi="宋体" w:eastAsia="宋体" w:cs="宋体"/>
          <w:b/>
          <w:sz w:val="21"/>
          <w:szCs w:val="21"/>
          <w:highlight w:val="none"/>
          <w:lang w:eastAsia="zh-CN"/>
        </w:rPr>
        <w:t xml:space="preserve">JSZC-320507-JHRG-G2025-0006</w:t>
      </w:r>
      <w:r/>
    </w:p>
    <w:p>
      <w:pPr>
        <w:ind w:firstLine="422"/>
        <w:spacing w:line="360" w:lineRule="auto"/>
        <w:tabs>
          <w:tab w:val="left" w:pos="567" w:leader="none"/>
        </w:tabs>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rPr>
        <w:t xml:space="preserve">二、采购项目名称：</w:t>
      </w:r>
      <w:r>
        <w:rPr>
          <w:rFonts w:hint="eastAsia" w:ascii="宋体" w:hAnsi="宋体" w:eastAsia="宋体" w:cs="宋体"/>
          <w:b/>
          <w:sz w:val="21"/>
          <w:szCs w:val="21"/>
          <w:highlight w:val="none"/>
          <w:lang w:eastAsia="zh-CN"/>
        </w:rPr>
        <w:t xml:space="preserve">北桥街道消防中队压缩空气泡沫消防车采购</w:t>
      </w:r>
      <w:r/>
    </w:p>
    <w:p>
      <w:pPr>
        <w:ind w:firstLine="422"/>
        <w:spacing w:line="360" w:lineRule="auto"/>
        <w:tabs>
          <w:tab w:val="left" w:pos="567" w:leader="none"/>
        </w:tabs>
        <w:rPr>
          <w:rFonts w:ascii="宋体" w:hAnsi="宋体" w:eastAsia="宋体" w:cs="宋体"/>
          <w:b/>
          <w:sz w:val="21"/>
          <w:szCs w:val="21"/>
          <w:highlight w:val="none"/>
        </w:rPr>
      </w:pPr>
      <w:r>
        <w:rPr>
          <w:rFonts w:hint="eastAsia" w:ascii="宋体" w:hAnsi="宋体" w:eastAsia="宋体" w:cs="宋体"/>
          <w:b/>
          <w:sz w:val="21"/>
          <w:szCs w:val="21"/>
          <w:highlight w:val="none"/>
        </w:rPr>
        <w:t xml:space="preserve">三、预算总金额：人民币叁佰肆拾捌万元整（￥3480000.00）</w:t>
      </w:r>
      <w:r/>
    </w:p>
    <w:p>
      <w:pPr>
        <w:pStyle w:val="702"/>
        <w:ind w:firstLine="420"/>
        <w:spacing w:line="360" w:lineRule="auto"/>
        <w:rPr>
          <w:rFonts w:hint="eastAsia" w:eastAsia="宋体"/>
          <w:highlight w:val="none"/>
          <w:lang w:eastAsia="zh-CN"/>
        </w:rPr>
      </w:pPr>
      <w:r>
        <w:rPr>
          <w:rFonts w:hint="eastAsia" w:ascii="宋体" w:hAnsi="宋体" w:eastAsia="宋体"/>
          <w:sz w:val="21"/>
          <w:szCs w:val="21"/>
          <w:highlight w:val="none"/>
        </w:rPr>
        <w:t xml:space="preserve">供货期限：</w:t>
      </w:r>
      <w:r>
        <w:rPr>
          <w:rFonts w:hint="eastAsia" w:ascii="宋体" w:hAnsi="宋体" w:eastAsia="宋体"/>
          <w:sz w:val="21"/>
          <w:szCs w:val="21"/>
          <w:highlight w:val="none"/>
          <w:lang w:eastAsia="zh-CN"/>
        </w:rPr>
        <w:t xml:space="preserve">自合同签订生效后11个月内完成全部采购内容的供货安装调试并交付正常使用，具体根据采购单位要求。</w:t>
      </w:r>
      <w:r/>
    </w:p>
    <w:p>
      <w:pPr>
        <w:ind w:firstLine="422"/>
        <w:spacing w:line="360" w:lineRule="auto"/>
        <w:tabs>
          <w:tab w:val="left" w:pos="567" w:leader="none"/>
        </w:tabs>
        <w:rPr>
          <w:rFonts w:ascii="宋体" w:hAnsi="宋体" w:eastAsia="宋体" w:cs="宋体"/>
          <w:b/>
          <w:sz w:val="21"/>
          <w:szCs w:val="21"/>
          <w:highlight w:val="none"/>
        </w:rPr>
      </w:pPr>
      <w:r>
        <w:rPr>
          <w:rFonts w:hint="eastAsia" w:ascii="宋体" w:hAnsi="宋体" w:eastAsia="宋体" w:cs="宋体"/>
          <w:b/>
          <w:sz w:val="21"/>
          <w:szCs w:val="21"/>
          <w:highlight w:val="none"/>
        </w:rPr>
        <w:t xml:space="preserve">四、采购需求：</w:t>
      </w:r>
      <w:r/>
    </w:p>
    <w:p>
      <w:pPr>
        <w:jc w:val="center"/>
        <w:rPr>
          <w:rFonts w:hint="eastAsia" w:ascii="宋体" w:hAnsi="宋体" w:eastAsia="宋体" w:cs="宋体"/>
          <w:b/>
          <w:sz w:val="21"/>
          <w:szCs w:val="21"/>
          <w:highlight w:val="none"/>
        </w:rPr>
      </w:pPr>
      <w:r/>
      <w:bookmarkStart w:id="54" w:name="_Toc132900419"/>
      <w:r/>
      <w:bookmarkStart w:id="55" w:name="_Toc150333277"/>
      <w:r>
        <w:rPr>
          <w:rFonts w:hint="eastAsia" w:ascii="宋体" w:hAnsi="宋体" w:eastAsia="宋体" w:cs="宋体"/>
          <w:b/>
          <w:sz w:val="24"/>
          <w:szCs w:val="24"/>
          <w:highlight w:val="none"/>
        </w:rPr>
        <w:t xml:space="preserve">压缩空气泡沫消防车（2吨）</w:t>
      </w:r>
      <w:r/>
    </w:p>
    <w:tbl>
      <w:tblPr>
        <w:tblStyle w:val="7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8621"/>
      </w:tblGrid>
      <w:tr>
        <w:trPr>
          <w:jc w:val="center"/>
        </w:trPr>
        <w:tc>
          <w:tcPr>
            <w:gridSpan w:val="2"/>
            <w:tcW w:w="9519"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一、整车参数</w:t>
            </w:r>
            <w:r/>
          </w:p>
        </w:tc>
      </w:tr>
      <w:tr>
        <w:trPr>
          <w:jc w:val="center"/>
        </w:trPr>
        <w:tc>
          <w:tcPr>
            <w:tcW w:w="898"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621"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1、外形尺寸：长×宽×高：≤6500mm×2500mm×3300mm</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2、满载质量：≤11000kg。</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3、载液量：≥2000L。</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4、座位：座椅应全部设置安全带。</w:t>
            </w:r>
            <w:r/>
          </w:p>
        </w:tc>
      </w:tr>
      <w:tr>
        <w:trPr>
          <w:jc w:val="center"/>
        </w:trPr>
        <w:tc>
          <w:tcPr>
            <w:gridSpan w:val="2"/>
            <w:tcW w:w="9519"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二、底盘</w:t>
            </w:r>
            <w:r/>
          </w:p>
        </w:tc>
      </w:tr>
      <w:tr>
        <w:trPr>
          <w:jc w:val="center"/>
          <w:trHeight w:val="2233"/>
        </w:trPr>
        <w:tc>
          <w:tcPr>
            <w:tcW w:w="898"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621"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1、驱动形式：4×2。</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2、▲发动机功率：≥180kw</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cs="宋体"/>
                <w:b/>
                <w:szCs w:val="21"/>
                <w:highlight w:val="none"/>
              </w:rPr>
              <w:t xml:space="preserve">★</w:t>
            </w:r>
            <w:r>
              <w:rPr>
                <w:rFonts w:hint="eastAsia" w:ascii="宋体" w:hAnsi="宋体" w:eastAsia="宋体" w:cs="宋体"/>
                <w:sz w:val="21"/>
                <w:szCs w:val="21"/>
                <w:highlight w:val="none"/>
              </w:rPr>
              <w:t xml:space="preserve">燃料种类/排放标准：柴油/国六。</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4、最大扭矩：≥1000N.m。</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5、最大排量：≥6L</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7、轴距：≤3050mm</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8、制动：电子制动系统（EBS）含防抱死制动系统（ABS）。前后轮盘式制动器。</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9、轮胎：配置子午线钢丝轮胎。</w:t>
            </w:r>
            <w:r/>
          </w:p>
        </w:tc>
      </w:tr>
      <w:tr>
        <w:trPr>
          <w:jc w:val="center"/>
        </w:trPr>
        <w:tc>
          <w:tcPr>
            <w:gridSpan w:val="2"/>
            <w:tcW w:w="9519"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三、驾驶室及乘员室</w:t>
            </w:r>
            <w:r/>
          </w:p>
        </w:tc>
      </w:tr>
      <w:tr>
        <w:trPr>
          <w:jc w:val="center"/>
        </w:trPr>
        <w:tc>
          <w:tcPr>
            <w:tcW w:w="898"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621"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1、驾驶室：原装二门，冷暖空调。外部长条遮阳板。顶部设置警灯嵌入式复合材料装饰。</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2、乘员室：</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型式：二门独立乘员室，弹性支撑与底盘连接。</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设计：驾驶室与乘员室人员方便沟通及位置调整，共享空调等资源，成员室需再安装独立空调。</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配置：乘员室设有</w:t>
            </w:r>
            <w:r>
              <w:rPr>
                <w:rFonts w:hint="eastAsia" w:ascii="宋体" w:hAnsi="宋体" w:eastAsia="宋体" w:cs="宋体"/>
                <w:sz w:val="21"/>
                <w:szCs w:val="21"/>
                <w:highlight w:val="none"/>
                <w:lang w:val="en-US" w:eastAsia="zh-CN"/>
              </w:rPr>
              <w:t xml:space="preserve">不少于</w:t>
            </w:r>
            <w:r>
              <w:rPr>
                <w:rFonts w:hint="eastAsia" w:ascii="宋体" w:hAnsi="宋体" w:eastAsia="宋体" w:cs="宋体"/>
                <w:sz w:val="21"/>
                <w:szCs w:val="21"/>
                <w:highlight w:val="none"/>
              </w:rPr>
              <w:t xml:space="preserve">3+2具空气呼吸器支架（应与驾乘人员人数一致），可嵌6.8或9L通用型单瓶。配置车载0到-18度冷控冰箱，配置220V供电电源。内部氛围灯，扶手灯。</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乘员室门：方便观察火情，需采用钢化玻璃门。</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3、消防操作控制面板</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设计：泵配套CAN总线控制面板，可实现与炮控制系统通讯，位于驾驶员与副驾驶员之间。</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功能：可对水泵系统、泡沫系统相关功能进行显示及控制。系统相关信息通过液晶显示屏，以数据及图形进行显示。</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水系统控制：常压表、水罐液位显示、水罐出水开关、真空泵开关、经泵往罐注水开关。</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泡沫系统控制：泡沫罐液位显示、泡沫罐出液开关、泡沫比例选择按钮。</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4、取力器启动：位于驾驶室消防控制面板上，并带有指示灯。</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5、警报系统：驾驶室内仪表板上设有警灯警报系统的控制。</w:t>
            </w:r>
            <w:r/>
          </w:p>
        </w:tc>
      </w:tr>
      <w:tr>
        <w:trPr>
          <w:jc w:val="center"/>
        </w:trPr>
        <w:tc>
          <w:tcPr>
            <w:gridSpan w:val="2"/>
            <w:tcW w:w="9519"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四、上装部分</w:t>
            </w:r>
            <w:r/>
          </w:p>
        </w:tc>
      </w:tr>
      <w:tr>
        <w:trPr>
          <w:jc w:val="center"/>
        </w:trPr>
        <w:tc>
          <w:tcPr>
            <w:tcW w:w="898"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621"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1、设计：模块化设计，弹性连接。由乘员室、厢体（储物箱和泵室）、内藏式罐体等组成。铝板整体抛光去毛刺、部件烤漆工艺。上装每个零件有激光刻画的零件号。</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2、厢体结构：采用全铝合金技术，其结构为无骨架无焊接铝合金板式粘接结构，无焊接应力发生，不变形，不生锈。</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3、储物箱：车左右两侧各2个，整体为铝合金材质。各储物箱带有LED照明灯，随门开关。</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4、储物箱门：轻合金卷帘门，条锁把手，可锁。卷帘门各密封、滑动胶件、锁等关键部件保证高耐磨耐老化。驾驶室有卷帘门开启及关闭指示灯。</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5、泵室：位于车尾后部隔间。</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6、车顶：车顶喷涂车用防滑漆，以保证人员行走安全。左右侧有铝合金雨槽用于雨水的疏流。</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7、梯子：位于车后右侧，推拉式后爬梯，带轻合金梯级保护及车顶扶手，梯蹬有防滑设计。</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8、快速灭火卷盘（高压）：</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型号：与泵相配套。</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位置：安装于器材箱内,用于快速高压出水。</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设计：工作压力4.0Mpa，防尘及坚固的非腐蚀性材料。高强度ABS卷轴及轮，铸造铝材曲柄驱动（小齿轮及齿圈）。1个手动软管刹车防止软管滚动</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9、升降照明灯：</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型式:电控气压式，可伸缩，带云台。</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范围:360°全方位照明，带自动复位功能。</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最大允许风速：≧100km/h</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探照灯:4×135 LED/24V</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高度：离地面≥5m。</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控制方式：有线和无线控制</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遥控距离：≥30米</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10、绞盘：</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位置：安装于消防车前端，内置隐藏式安装。</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型式：电动，驱动电压24V，带限扭功能。</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最大牵引力：≥3600kg。</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钢丝绳：直径≥8mm;长度≥25m。</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11、泵传动轴：</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结构型式：与泵配套一体，免维护万向十字节结构。</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材料：优质无缝钢管。</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12、水带拖车：</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结构型式：与泵相匹配带快速锁止和释放接口，单人能轻松通过旋转圆盘收卷。</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数量：1套（2个），每个可收卷100米水带。</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位置：固定于车尾保险杠上。</w:t>
            </w:r>
            <w:r/>
          </w:p>
        </w:tc>
      </w:tr>
      <w:tr>
        <w:trPr>
          <w:jc w:val="center"/>
        </w:trPr>
        <w:tc>
          <w:tcPr>
            <w:gridSpan w:val="2"/>
            <w:tcW w:w="9519"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五、消防泵系统部分</w:t>
            </w:r>
            <w:r/>
          </w:p>
        </w:tc>
      </w:tr>
      <w:tr>
        <w:trPr>
          <w:jc w:val="center"/>
        </w:trPr>
        <w:tc>
          <w:tcPr>
            <w:tcW w:w="898"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621"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1、▲泵型号：离心式、1级常压及4级高压。(水泵、泡沫比例器，控制系统、真空装置、管路阀门等主要部件需配套）</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2、▲流量：1.0Mpa时≥3200L/min，高压 4.0 Mpa时≥350L/min。</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3、稳压系统：与泵相匹配的稳压系统。</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4、真空装置：</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结构形式：与泵相匹配的活塞真空泵，与泵齿轮箱联动。</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性能：最大吸深≧7m，真空度≧85%，</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活塞排量：≧1L</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控制：泵联动全自动抽真空功能。</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真空测试：一键式真空测试。</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5、出水口：左右各1个DN80，1个DN65出水口</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6、高压出水口：泵的上方设置1个高压出水口，通过高压软管与高压出水卷盘连接。</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7、B类泡沫系统</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7.1比例混合器型号：采用泵相匹配的比例混合器。</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7.2设计：自动“环泵式”</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7.3材质：计量及比例阀须采用铜合金</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7.4常压泡沫比例：3%和6%。</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7.5泡沫系统冲洗：一键式冲洗，通过内部管路实现。</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8、泵控制面板：</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8.1概述：泵采用CAN总线控制。可实现与炮控制系统通讯。</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8.2标识：在明显位置附加操作流程及说明铭牌（中文）。</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8.3功能：通过该面板，可清楚知道取力器启动状态、抽真空度、水泵压力、泵转速、泵工作时间、水罐液位、泡沫罐液位等情况；可实现真空泵开关、油门控制、水罐吸水、泡沫罐出液、混合比例选择等操作可对水泵系统、泡沫系统及自保系统相关功能进行显示及控制，系统相关信息通过液晶显示屏，以数据及图形进行显示。</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8.4 水系统控制：常压表、高压表、水罐液位显示、水罐出水开关、真空泵开关、经泵往罐注水开关、高压水出水开关、卷盘出水。</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8.5 泡沫系统控制：泡沫罐液位显示、泡沫罐出液开关、泡沫比例选择旋钮。</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8.6动力控制：发动机启停按钮，取力器开关，油门开关。</w:t>
            </w:r>
            <w:r/>
          </w:p>
        </w:tc>
      </w:tr>
      <w:tr>
        <w:trPr>
          <w:jc w:val="center"/>
        </w:trPr>
        <w:tc>
          <w:tcPr>
            <w:gridSpan w:val="2"/>
            <w:tcW w:w="9519"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六、压缩空气泡沫系统部分</w:t>
            </w:r>
            <w:r/>
          </w:p>
        </w:tc>
      </w:tr>
      <w:tr>
        <w:trPr>
          <w:jc w:val="center"/>
        </w:trPr>
        <w:tc>
          <w:tcPr>
            <w:tcW w:w="898"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621"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1、型号：与消防泵相匹配的系统。</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2、设计：整个系统与消防泵整合在一起，空气压缩机流量≥3000L/min，可以调节压缩空气泡沫的干湿度。</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3、压缩空气泡沫流量：1.0Mpa压力时泡沫流量≥40L/min，压缩空气泡沫流量≥3000L/min。</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4、压缩空气泡沫出口：出口可以独立人工调节CAFS输出的干湿程度；</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5、泡沫混合器：全自动泡沫比例混合器，高精度可调。A类泡沫：0.1-1%,无级调节,B类泡沫：1.0-6.0%</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6、自动注泡沫功能：系统可将外部泡沫液直接注入罐体。</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7、泡沫泵清洗功能：一键式泡沫泵管路清洗、排放及吹干。</w:t>
            </w:r>
            <w:r/>
          </w:p>
        </w:tc>
      </w:tr>
      <w:tr>
        <w:trPr>
          <w:jc w:val="center"/>
        </w:trPr>
        <w:tc>
          <w:tcPr>
            <w:gridSpan w:val="2"/>
            <w:tcW w:w="9519"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七、容罐部分</w:t>
            </w:r>
            <w:r/>
          </w:p>
        </w:tc>
      </w:tr>
      <w:tr>
        <w:trPr>
          <w:jc w:val="center"/>
        </w:trPr>
        <w:tc>
          <w:tcPr>
            <w:tcW w:w="898"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621"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水罐</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1、设计：设有横向和纵向阻浪板，设有直径400mm人孔口。</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2、材质：304不锈钢</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3、载液量：≥1800L</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4、注水口：左右各1个DN80</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5、排放口：1个DN40，手动控制</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6、液位系统：在泵室控制面板上设有液位显示。</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泡沫罐</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1、材质：防腐高分子聚合材料。</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2、容量：≥200L（可存放A类或B类泡沫）。</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3、排放口：1个DN40，手动控制</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4、液位计：在泵室控制面板上设有液位显示。</w:t>
            </w:r>
            <w:r/>
          </w:p>
        </w:tc>
      </w:tr>
      <w:tr>
        <w:trPr>
          <w:jc w:val="center"/>
        </w:trPr>
        <w:tc>
          <w:tcPr>
            <w:gridSpan w:val="2"/>
            <w:tcW w:w="9519"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八、车载消防炮</w:t>
            </w:r>
            <w:r/>
          </w:p>
        </w:tc>
      </w:tr>
      <w:tr>
        <w:trPr>
          <w:jc w:val="center"/>
        </w:trPr>
        <w:tc>
          <w:tcPr>
            <w:tcW w:w="898"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621"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车载炮</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1、型号：智能电控炮，采用CAN总线控制，可实现与炮控制系统通讯。</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2、设计：电动模拟炮，具有电子编程模块，可通过编程设定炮的运动路径。炮身带有1个聚光探照灯作为消防炮的工作照明。</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3、电控系统：采用CAN总线控制，可实现与泵和底盘控制系统通讯。</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4、▲流量：1.0Mpa时≥1800 L/min，炮自身可实现半流量控制，通过炮控制手柄上的半流量键，实现一键启动及一键复位，不接受管路上增加流量控制阀。</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5、转动范围：旋转：≥270°，俯仰：</w:t>
            </w:r>
            <w:r>
              <w:rPr>
                <w:rFonts w:hint="eastAsia" w:ascii="宋体" w:hAnsi="宋体" w:eastAsia="宋体" w:cs="宋体"/>
                <w:sz w:val="21"/>
                <w:szCs w:val="21"/>
                <w:highlight w:val="none"/>
                <w:lang w:val="en-US" w:eastAsia="zh-CN"/>
              </w:rPr>
              <w:t xml:space="preserve">不小于</w:t>
            </w:r>
            <w:r>
              <w:rPr>
                <w:rFonts w:hint="eastAsia" w:ascii="宋体" w:hAnsi="宋体" w:eastAsia="宋体" w:cs="宋体"/>
                <w:sz w:val="21"/>
                <w:szCs w:val="21"/>
                <w:highlight w:val="none"/>
              </w:rPr>
              <w:t xml:space="preserve">-15°至60°</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6、射程：水≥55m，泡沫≥50m。</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7、操作方式：</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▲7.1驾驶室模拟式手柄控制，操作人员可单手轻松操作，通过观察手枪口方向即可了解炮的发射方向，无须到车外观察。</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7.2应急控制：在炮电路失效时，操作人员通过炮体上控制手柄进行应急操作，各手柄的操作轻松流畅，保证一人便可轻松操作。设有手动应急操作标识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7.3无线遥控：具备遥控器开启/急停，旋转/俯仰，直流/开花，一键启动及复位按钮，全流量开关，半流量开关，炮移动快慢切换开关，炮出水开关，油门加减等功能，遥控距离大于100m。</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7.4 有线控制：与泵及底盘有线连接，可实现连续作业工况，弹簧收缩线布置于泵室。</w:t>
            </w:r>
            <w:r/>
          </w:p>
        </w:tc>
      </w:tr>
      <w:tr>
        <w:trPr>
          <w:jc w:val="center"/>
        </w:trPr>
        <w:tc>
          <w:tcPr>
            <w:gridSpan w:val="2"/>
            <w:tcW w:w="9519"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九、电气设备</w:t>
            </w:r>
            <w:r/>
          </w:p>
        </w:tc>
      </w:tr>
      <w:tr>
        <w:trPr>
          <w:jc w:val="center"/>
        </w:trPr>
        <w:tc>
          <w:tcPr>
            <w:tcW w:w="898"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621"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1、火场照明：探照灯带枢轴，线缆及插头，可360度调整照明角度。</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2、侧部照明：4个，含侧回复反射器。</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3、警报系统：</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3.1.红色视觉警报装置，驾驶室顶警报装置为LED红色警灯，从驾驶</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室开关。</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3.2.配备≥100W电子警笛，驾驶室顶设有1个汽笛。</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3.3.左右两侧各设置2组红色爆闪灯。</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4、其他：驾驶室内配备360度行车记录仪（内存不小于128GB），配备倒车雷达、倒车影像系统、蓝牙通信系统和导航仪，导航仪采用安卓系统平台，具有4G以上通信模块。</w:t>
            </w:r>
            <w:r/>
          </w:p>
        </w:tc>
      </w:tr>
      <w:tr>
        <w:trPr>
          <w:jc w:val="center"/>
        </w:trPr>
        <w:tc>
          <w:tcPr>
            <w:gridSpan w:val="2"/>
            <w:tcW w:w="9519"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十、随车附件和备件</w:t>
            </w:r>
            <w:r/>
          </w:p>
        </w:tc>
      </w:tr>
      <w:tr>
        <w:trPr>
          <w:jc w:val="center"/>
        </w:trPr>
        <w:tc>
          <w:tcPr>
            <w:tcW w:w="898"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621" w:type="dxa"/>
            <w:textDirection w:val="lrTb"/>
            <w:noWrap w:val="false"/>
          </w:tcPr>
          <w:tbl>
            <w:tblPr>
              <w:tblStyle w:val="739"/>
              <w:tblW w:w="7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1806"/>
              <w:gridCol w:w="3608"/>
              <w:gridCol w:w="1139"/>
            </w:tblGrid>
            <w:tr>
              <w:trPr>
                <w:jc w:val="center"/>
                <w:trHeight w:val="272"/>
              </w:trPr>
              <w:tc>
                <w:tcPr>
                  <w:tcW w:w="84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180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货物名称</w:t>
                  </w:r>
                  <w:r/>
                </w:p>
              </w:tc>
              <w:tc>
                <w:tcPr>
                  <w:tcW w:w="360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型号规格/配置技术参数</w:t>
                  </w:r>
                  <w:r/>
                </w:p>
              </w:tc>
              <w:tc>
                <w:tcPr>
                  <w:tcW w:w="11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r>
            <w:tr>
              <w:trPr>
                <w:jc w:val="center"/>
                <w:trHeight w:val="272"/>
              </w:trPr>
              <w:tc>
                <w:tcPr>
                  <w:tcW w:w="84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80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消防吸水管</w:t>
                  </w:r>
                  <w:r/>
                </w:p>
              </w:tc>
              <w:tc>
                <w:tcPr>
                  <w:tcW w:w="360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DN150（每根4m）</w:t>
                  </w:r>
                  <w:r/>
                </w:p>
              </w:tc>
              <w:tc>
                <w:tcPr>
                  <w:tcW w:w="11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2根</w:t>
                  </w:r>
                  <w:r/>
                </w:p>
              </w:tc>
            </w:tr>
            <w:tr>
              <w:trPr>
                <w:jc w:val="center"/>
                <w:trHeight w:val="272"/>
              </w:trPr>
              <w:tc>
                <w:tcPr>
                  <w:tcW w:w="84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80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滤水器</w:t>
                  </w:r>
                  <w:r/>
                </w:p>
              </w:tc>
              <w:tc>
                <w:tcPr>
                  <w:tcW w:w="360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KGK150（带漂浮装置）</w:t>
                  </w:r>
                  <w:r/>
                </w:p>
              </w:tc>
              <w:tc>
                <w:tcPr>
                  <w:tcW w:w="11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1件</w:t>
                  </w:r>
                  <w:r/>
                </w:p>
              </w:tc>
            </w:tr>
            <w:tr>
              <w:trPr>
                <w:jc w:val="center"/>
                <w:trHeight w:val="535"/>
              </w:trPr>
              <w:tc>
                <w:tcPr>
                  <w:tcW w:w="84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80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卡式铝雄消防栓接口</w:t>
                  </w:r>
                  <w:r/>
                </w:p>
              </w:tc>
              <w:tc>
                <w:tcPr>
                  <w:tcW w:w="360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DN150卡式雄/M125×6内牙</w:t>
                  </w:r>
                  <w:r/>
                </w:p>
              </w:tc>
              <w:tc>
                <w:tcPr>
                  <w:tcW w:w="11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1件</w:t>
                  </w:r>
                  <w:r/>
                </w:p>
              </w:tc>
            </w:tr>
            <w:tr>
              <w:trPr>
                <w:jc w:val="center"/>
                <w:trHeight w:val="272"/>
              </w:trPr>
              <w:tc>
                <w:tcPr>
                  <w:tcW w:w="84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180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消防水带</w:t>
                  </w:r>
                  <w:r/>
                </w:p>
              </w:tc>
              <w:tc>
                <w:tcPr>
                  <w:tcW w:w="360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16-65-20</w:t>
                  </w:r>
                  <w:r/>
                </w:p>
              </w:tc>
              <w:tc>
                <w:tcPr>
                  <w:tcW w:w="11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6盘</w:t>
                  </w:r>
                  <w:r/>
                </w:p>
              </w:tc>
            </w:tr>
            <w:tr>
              <w:trPr>
                <w:jc w:val="center"/>
                <w:trHeight w:val="272"/>
              </w:trPr>
              <w:tc>
                <w:tcPr>
                  <w:tcW w:w="84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180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消防水带</w:t>
                  </w:r>
                  <w:r/>
                </w:p>
              </w:tc>
              <w:tc>
                <w:tcPr>
                  <w:tcW w:w="360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16-80-20</w:t>
                  </w:r>
                  <w:r/>
                </w:p>
              </w:tc>
              <w:tc>
                <w:tcPr>
                  <w:tcW w:w="11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6盘</w:t>
                  </w:r>
                  <w:r/>
                </w:p>
              </w:tc>
            </w:tr>
            <w:tr>
              <w:trPr>
                <w:jc w:val="center"/>
                <w:trHeight w:val="535"/>
              </w:trPr>
              <w:tc>
                <w:tcPr>
                  <w:tcW w:w="84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W w:w="180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分水器</w:t>
                  </w:r>
                  <w:r/>
                </w:p>
              </w:tc>
              <w:tc>
                <w:tcPr>
                  <w:tcW w:w="3608" w:type="dxa"/>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FⅡ80/65×2-1.6/进水口卡式雄/出水口卡式雌</w:t>
                  </w:r>
                  <w:r/>
                </w:p>
              </w:tc>
              <w:tc>
                <w:tcPr>
                  <w:tcW w:w="11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2件</w:t>
                  </w:r>
                  <w:r/>
                </w:p>
              </w:tc>
            </w:tr>
            <w:tr>
              <w:trPr>
                <w:jc w:val="center"/>
                <w:trHeight w:val="272"/>
              </w:trPr>
              <w:tc>
                <w:tcPr>
                  <w:tcW w:w="84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W w:w="180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集水器</w:t>
                  </w:r>
                  <w:r/>
                </w:p>
              </w:tc>
              <w:tc>
                <w:tcPr>
                  <w:tcW w:w="360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DN150/2×DN65</w:t>
                  </w:r>
                  <w:r/>
                </w:p>
              </w:tc>
              <w:tc>
                <w:tcPr>
                  <w:tcW w:w="11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1件</w:t>
                  </w:r>
                  <w:r/>
                </w:p>
              </w:tc>
            </w:tr>
            <w:tr>
              <w:trPr>
                <w:jc w:val="center"/>
                <w:trHeight w:val="272"/>
              </w:trPr>
              <w:tc>
                <w:tcPr>
                  <w:tcW w:w="84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W w:w="180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异径接口</w:t>
                  </w:r>
                  <w:r/>
                </w:p>
              </w:tc>
              <w:tc>
                <w:tcPr>
                  <w:tcW w:w="360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KJK65/80</w:t>
                  </w:r>
                  <w:r/>
                </w:p>
              </w:tc>
              <w:tc>
                <w:tcPr>
                  <w:tcW w:w="11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2件</w:t>
                  </w:r>
                  <w:r/>
                </w:p>
              </w:tc>
            </w:tr>
            <w:tr>
              <w:trPr>
                <w:jc w:val="center"/>
                <w:trHeight w:val="272"/>
              </w:trPr>
              <w:tc>
                <w:tcPr>
                  <w:tcW w:w="84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W w:w="180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水带包布</w:t>
                  </w:r>
                  <w:r/>
                </w:p>
              </w:tc>
              <w:tc>
                <w:tcPr>
                  <w:tcW w:w="360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L=400mm</w:t>
                  </w:r>
                  <w:r/>
                </w:p>
              </w:tc>
              <w:tc>
                <w:tcPr>
                  <w:tcW w:w="11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4件</w:t>
                  </w:r>
                  <w:r/>
                </w:p>
              </w:tc>
            </w:tr>
            <w:tr>
              <w:trPr>
                <w:jc w:val="center"/>
                <w:trHeight w:val="272"/>
              </w:trPr>
              <w:tc>
                <w:tcPr>
                  <w:tcW w:w="84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W w:w="180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护带桥</w:t>
                  </w:r>
                  <w:r/>
                </w:p>
              </w:tc>
              <w:tc>
                <w:tcPr>
                  <w:tcW w:w="360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570×380×160，橡胶</w:t>
                  </w:r>
                  <w:r/>
                </w:p>
              </w:tc>
              <w:tc>
                <w:tcPr>
                  <w:tcW w:w="11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1副</w:t>
                  </w:r>
                  <w:r/>
                </w:p>
              </w:tc>
            </w:tr>
            <w:tr>
              <w:trPr>
                <w:jc w:val="center"/>
                <w:trHeight w:val="272"/>
              </w:trPr>
              <w:tc>
                <w:tcPr>
                  <w:tcW w:w="84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p>
              </w:tc>
              <w:tc>
                <w:tcPr>
                  <w:tcW w:w="180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水带挂钩</w:t>
                  </w:r>
                  <w:r/>
                </w:p>
              </w:tc>
              <w:tc>
                <w:tcPr>
                  <w:tcW w:w="360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L=440mm</w:t>
                  </w:r>
                  <w:r/>
                </w:p>
              </w:tc>
              <w:tc>
                <w:tcPr>
                  <w:tcW w:w="11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2件</w:t>
                  </w:r>
                  <w:r/>
                </w:p>
              </w:tc>
            </w:tr>
            <w:tr>
              <w:trPr>
                <w:jc w:val="center"/>
                <w:trHeight w:val="272"/>
              </w:trPr>
              <w:tc>
                <w:tcPr>
                  <w:tcW w:w="84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p>
              </w:tc>
              <w:tc>
                <w:tcPr>
                  <w:tcW w:w="180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地上消火栓扳手</w:t>
                  </w:r>
                  <w:r/>
                </w:p>
              </w:tc>
              <w:tc>
                <w:tcPr>
                  <w:tcW w:w="360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1件</w:t>
                  </w:r>
                  <w:r/>
                </w:p>
              </w:tc>
            </w:tr>
            <w:tr>
              <w:trPr>
                <w:jc w:val="center"/>
                <w:trHeight w:val="272"/>
              </w:trPr>
              <w:tc>
                <w:tcPr>
                  <w:tcW w:w="84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p>
              </w:tc>
              <w:tc>
                <w:tcPr>
                  <w:tcW w:w="180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吸液胶管扳手</w:t>
                  </w:r>
                  <w:r/>
                </w:p>
              </w:tc>
              <w:tc>
                <w:tcPr>
                  <w:tcW w:w="360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DN40</w:t>
                  </w:r>
                  <w:r/>
                </w:p>
              </w:tc>
              <w:tc>
                <w:tcPr>
                  <w:tcW w:w="11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2件</w:t>
                  </w:r>
                  <w:r/>
                </w:p>
              </w:tc>
            </w:tr>
            <w:tr>
              <w:trPr>
                <w:jc w:val="center"/>
                <w:trHeight w:val="272"/>
              </w:trPr>
              <w:tc>
                <w:tcPr>
                  <w:tcW w:w="84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p>
              </w:tc>
              <w:tc>
                <w:tcPr>
                  <w:tcW w:w="180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混合器吸液管</w:t>
                  </w:r>
                  <w:r/>
                </w:p>
              </w:tc>
              <w:tc>
                <w:tcPr>
                  <w:tcW w:w="360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DN40（包括插入管）</w:t>
                  </w:r>
                  <w:r/>
                </w:p>
              </w:tc>
              <w:tc>
                <w:tcPr>
                  <w:tcW w:w="11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1根</w:t>
                  </w:r>
                  <w:r/>
                </w:p>
              </w:tc>
            </w:tr>
            <w:tr>
              <w:trPr>
                <w:jc w:val="center"/>
                <w:trHeight w:val="272"/>
              </w:trPr>
              <w:tc>
                <w:tcPr>
                  <w:tcW w:w="84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p>
              </w:tc>
              <w:tc>
                <w:tcPr>
                  <w:tcW w:w="180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空气泡沫枪</w:t>
                  </w:r>
                  <w:r/>
                </w:p>
              </w:tc>
              <w:tc>
                <w:tcPr>
                  <w:tcW w:w="360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w:t>
                  </w:r>
                  <w:r/>
                </w:p>
              </w:tc>
            </w:tr>
            <w:tr>
              <w:trPr>
                <w:jc w:val="center"/>
                <w:trHeight w:val="272"/>
              </w:trPr>
              <w:tc>
                <w:tcPr>
                  <w:tcW w:w="84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p>
              </w:tc>
              <w:tc>
                <w:tcPr>
                  <w:tcW w:w="180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多功能消防水枪</w:t>
                  </w:r>
                  <w:r/>
                </w:p>
              </w:tc>
              <w:tc>
                <w:tcPr>
                  <w:tcW w:w="360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65接口</w:t>
                  </w:r>
                  <w:r/>
                </w:p>
              </w:tc>
              <w:tc>
                <w:tcPr>
                  <w:tcW w:w="11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w:t>
                  </w:r>
                  <w:r/>
                </w:p>
              </w:tc>
            </w:tr>
            <w:tr>
              <w:trPr>
                <w:jc w:val="center"/>
                <w:trHeight w:val="272"/>
              </w:trPr>
              <w:tc>
                <w:tcPr>
                  <w:tcW w:w="84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w:t>
                  </w:r>
                  <w:r/>
                </w:p>
              </w:tc>
              <w:tc>
                <w:tcPr>
                  <w:tcW w:w="180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铁锹</w:t>
                  </w:r>
                  <w:r/>
                </w:p>
              </w:tc>
              <w:tc>
                <w:tcPr>
                  <w:tcW w:w="360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1件</w:t>
                  </w:r>
                  <w:r/>
                </w:p>
              </w:tc>
            </w:tr>
            <w:tr>
              <w:trPr>
                <w:jc w:val="center"/>
                <w:trHeight w:val="272"/>
              </w:trPr>
              <w:tc>
                <w:tcPr>
                  <w:tcW w:w="84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w:t>
                  </w:r>
                  <w:r/>
                </w:p>
              </w:tc>
              <w:tc>
                <w:tcPr>
                  <w:tcW w:w="180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消防腰斧</w:t>
                  </w:r>
                  <w:r/>
                </w:p>
              </w:tc>
              <w:tc>
                <w:tcPr>
                  <w:tcW w:w="360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1件</w:t>
                  </w:r>
                  <w:r/>
                </w:p>
              </w:tc>
            </w:tr>
            <w:tr>
              <w:trPr>
                <w:jc w:val="center"/>
                <w:trHeight w:val="272"/>
              </w:trPr>
              <w:tc>
                <w:tcPr>
                  <w:tcW w:w="84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w:t>
                  </w:r>
                  <w:r/>
                </w:p>
              </w:tc>
              <w:tc>
                <w:tcPr>
                  <w:tcW w:w="180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丁字镐</w:t>
                  </w:r>
                  <w:r/>
                </w:p>
              </w:tc>
              <w:tc>
                <w:tcPr>
                  <w:tcW w:w="360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1件</w:t>
                  </w:r>
                  <w:r/>
                </w:p>
              </w:tc>
            </w:tr>
            <w:tr>
              <w:trPr>
                <w:jc w:val="center"/>
                <w:trHeight w:val="280"/>
              </w:trPr>
              <w:tc>
                <w:tcPr>
                  <w:tcW w:w="84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tcW w:w="180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铁铤</w:t>
                  </w:r>
                  <w:r/>
                </w:p>
              </w:tc>
              <w:tc>
                <w:tcPr>
                  <w:tcW w:w="360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3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1件</w:t>
                  </w:r>
                  <w:r/>
                </w:p>
              </w:tc>
            </w:tr>
          </w:tbl>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gridSpan w:val="2"/>
            <w:tcW w:w="9519"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十一、车身要求</w:t>
            </w:r>
            <w:r/>
          </w:p>
        </w:tc>
      </w:tr>
      <w:tr>
        <w:trPr>
          <w:jc w:val="center"/>
        </w:trPr>
        <w:tc>
          <w:tcPr>
            <w:tcW w:w="898"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621"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1、驾驶室和上装外表面：R03消防红</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2、副车架：面漆与底盘同色RAL9005（黑色）</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3、前轮罩和保险杠：保持原底盘颜色不变</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4、器材室、泵室内外露表面：保持原铝板颜色不变。</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5、上装装饰件、后爬梯、外露电器、信号装置等：保持原颜色不变。</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6、轮辋：银色。</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7、挡泥板：每个轮胎上方设有胎压数据。</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8、开关及阀门：所有开关阀门具有中文标识。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9、车身：反光安全标识。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10、整车标识：按用户要求标识。</w:t>
            </w:r>
            <w:r/>
          </w:p>
        </w:tc>
      </w:tr>
    </w:tbl>
    <w:p>
      <w:pPr>
        <w:ind w:firstLine="422"/>
        <w:spacing w:line="360" w:lineRule="auto"/>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注：</w:t>
      </w:r>
      <w:r>
        <w:rPr>
          <w:rFonts w:hint="eastAsia" w:ascii="宋体"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rPr>
        <w:t xml:space="preserve">上述所有技术参数中涉及的型号仅为参考型号，投标人可以投其他型号，但所投产品的功能及技术参数应等于或高于参考型号的要求。</w:t>
      </w:r>
      <w:r/>
    </w:p>
    <w:p>
      <w:pPr>
        <w:ind w:firstLine="422"/>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2、以上加★项为必须满足项，否则为无效投标。</w:t>
      </w:r>
      <w:r/>
    </w:p>
    <w:p>
      <w:pPr>
        <w:ind w:firstLine="422"/>
        <w:spacing w:line="360" w:lineRule="auto"/>
        <w:rPr>
          <w:rFonts w:hint="default" w:ascii="宋体" w:hAnsi="宋体" w:eastAsia="宋体"/>
          <w:sz w:val="21"/>
          <w:szCs w:val="21"/>
          <w:highlight w:val="none"/>
        </w:rPr>
      </w:pPr>
      <w:r>
        <w:rPr>
          <w:rFonts w:hint="eastAsia" w:ascii="宋体" w:hAnsi="宋体" w:eastAsia="宋体" w:cs="宋体"/>
          <w:b/>
          <w:bCs/>
          <w:sz w:val="21"/>
          <w:szCs w:val="21"/>
          <w:highlight w:val="none"/>
          <w:lang w:val="en-US" w:eastAsia="zh-CN"/>
        </w:rPr>
        <w:t xml:space="preserve">五、</w:t>
      </w:r>
      <w:r>
        <w:rPr>
          <w:rFonts w:hint="eastAsia" w:ascii="宋体" w:hAnsi="宋体" w:eastAsia="宋体" w:cs="宋体"/>
          <w:b/>
          <w:bCs/>
          <w:sz w:val="21"/>
          <w:szCs w:val="21"/>
          <w:highlight w:val="none"/>
        </w:rPr>
        <w:t xml:space="preserve">投标货物要求及相关说明</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（一）</w:t>
      </w:r>
      <w:r>
        <w:rPr>
          <w:rFonts w:hint="default" w:ascii="宋体" w:hAnsi="宋体" w:eastAsia="宋体"/>
          <w:sz w:val="21"/>
          <w:szCs w:val="21"/>
          <w:highlight w:val="none"/>
        </w:rPr>
        <w:t xml:space="preserve">技术要求</w:t>
      </w:r>
      <w:r/>
    </w:p>
    <w:p>
      <w:pPr>
        <w:ind w:firstLine="420"/>
        <w:spacing w:line="360" w:lineRule="auto"/>
        <w:rPr>
          <w:rFonts w:hint="default" w:ascii="宋体" w:hAnsi="宋体" w:eastAsia="宋体"/>
          <w:sz w:val="21"/>
          <w:szCs w:val="21"/>
          <w:highlight w:val="none"/>
        </w:rPr>
      </w:pPr>
      <w:r>
        <w:rPr>
          <w:rFonts w:hint="default" w:ascii="宋体" w:hAnsi="宋体" w:eastAsia="宋体"/>
          <w:sz w:val="21"/>
          <w:szCs w:val="21"/>
          <w:highlight w:val="none"/>
        </w:rPr>
        <w:t xml:space="preserve">1.所有合同附件及本项目的招投标文件、中标通知书、协议等均为本合同不可分割之部分。解释的顺序除特别说明外，以文件生效时间在后的为准。</w:t>
      </w:r>
      <w:r/>
    </w:p>
    <w:p>
      <w:pPr>
        <w:ind w:firstLine="420"/>
        <w:spacing w:line="360" w:lineRule="auto"/>
        <w:rPr>
          <w:rFonts w:hint="default" w:ascii="宋体" w:hAnsi="宋体" w:eastAsia="宋体"/>
          <w:sz w:val="21"/>
          <w:szCs w:val="21"/>
          <w:highlight w:val="none"/>
        </w:rPr>
      </w:pPr>
      <w:r>
        <w:rPr>
          <w:rFonts w:hint="default" w:ascii="宋体" w:hAnsi="宋体" w:eastAsia="宋体"/>
          <w:sz w:val="21"/>
          <w:szCs w:val="21"/>
          <w:highlight w:val="none"/>
        </w:rPr>
        <w:t xml:space="preserve">2.卖方提供的货物及服务，必须符合合同附件要求的技术规格标准及中华人民共和国国家标准或行业标准和环保要求；如果没有提及适用标准，或中华人民共和国也没有相关标准的，则采用货物来源国适用的官方标准。这些标准必须是相关国家或行业机构发布的最新版本的标准。</w:t>
      </w:r>
      <w:r/>
    </w:p>
    <w:p>
      <w:pPr>
        <w:ind w:firstLine="420"/>
        <w:spacing w:line="360" w:lineRule="auto"/>
        <w:rPr>
          <w:rFonts w:hint="default" w:ascii="宋体" w:hAnsi="宋体" w:eastAsia="宋体"/>
          <w:sz w:val="21"/>
          <w:szCs w:val="21"/>
          <w:highlight w:val="none"/>
        </w:rPr>
      </w:pPr>
      <w:r>
        <w:rPr>
          <w:rFonts w:hint="default" w:ascii="宋体" w:hAnsi="宋体" w:eastAsia="宋体"/>
          <w:sz w:val="21"/>
          <w:szCs w:val="21"/>
          <w:highlight w:val="none"/>
        </w:rPr>
        <w:t xml:space="preserve">3.依据法律规定或直观观察等日常生活经验能够直接确认的事实，可以直接作为判断是否有质量问题的依据，无需鉴定；确需鉴定的，以国家消防装备质量监督检验中心出具的书面鉴定意见为准。货物符合质量标准的，鉴定费用由采购方承担；货物不符合质量标准的，鉴定费用由卖方承担，并且采购方有权追究卖方的责任。</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（二）</w:t>
      </w:r>
      <w:r>
        <w:rPr>
          <w:rFonts w:hint="default" w:ascii="宋体" w:hAnsi="宋体" w:eastAsia="宋体"/>
          <w:sz w:val="21"/>
          <w:szCs w:val="21"/>
          <w:highlight w:val="none"/>
        </w:rPr>
        <w:t xml:space="preserve">随车配件</w:t>
      </w:r>
      <w:r/>
    </w:p>
    <w:p>
      <w:pPr>
        <w:ind w:firstLine="420"/>
        <w:spacing w:line="360" w:lineRule="auto"/>
        <w:rPr>
          <w:rFonts w:hint="default" w:ascii="宋体" w:hAnsi="宋体" w:eastAsia="宋体"/>
          <w:sz w:val="21"/>
          <w:szCs w:val="21"/>
          <w:highlight w:val="none"/>
        </w:rPr>
      </w:pPr>
      <w:r>
        <w:rPr>
          <w:rFonts w:hint="default" w:ascii="宋体" w:hAnsi="宋体" w:eastAsia="宋体"/>
          <w:sz w:val="21"/>
          <w:szCs w:val="21"/>
          <w:highlight w:val="none"/>
        </w:rPr>
        <w:t xml:space="preserve">随货免费提供底盘和上装部分及随货器材使用、保养、维修用的其它必须配件、必备工具。</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（三）</w:t>
      </w:r>
      <w:r>
        <w:rPr>
          <w:rFonts w:hint="default" w:ascii="宋体" w:hAnsi="宋体" w:eastAsia="宋体"/>
          <w:sz w:val="21"/>
          <w:szCs w:val="21"/>
          <w:highlight w:val="none"/>
        </w:rPr>
        <w:t xml:space="preserve">随货文件（按要求提供英文或原文、中文版各3套）</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1.</w:t>
      </w:r>
      <w:r>
        <w:rPr>
          <w:rFonts w:hint="default" w:ascii="宋体" w:hAnsi="宋体" w:eastAsia="宋体"/>
          <w:sz w:val="21"/>
          <w:szCs w:val="21"/>
          <w:highlight w:val="none"/>
        </w:rPr>
        <w:t xml:space="preserve">底盘及发动机：操作手册、润滑计划、维修手册、保养手册、数据卡、标明车总重量及型号的图表。</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2.</w:t>
      </w:r>
      <w:r>
        <w:rPr>
          <w:rFonts w:hint="default" w:ascii="宋体" w:hAnsi="宋体" w:eastAsia="宋体"/>
          <w:sz w:val="21"/>
          <w:szCs w:val="21"/>
          <w:highlight w:val="none"/>
        </w:rPr>
        <w:t xml:space="preserve">上装：操作手册、维修手册、零件目录，系统安装图表、上装总图（表）。</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3.</w:t>
      </w:r>
      <w:r>
        <w:rPr>
          <w:rFonts w:hint="default" w:ascii="宋体" w:hAnsi="宋体" w:eastAsia="宋体"/>
          <w:sz w:val="21"/>
          <w:szCs w:val="21"/>
          <w:highlight w:val="none"/>
        </w:rPr>
        <w:t xml:space="preserve">交货时提供所有设备和随车器材的使用说明书、电子版说明书。</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4.</w:t>
      </w:r>
      <w:r>
        <w:rPr>
          <w:rFonts w:hint="default" w:ascii="宋体" w:hAnsi="宋体" w:eastAsia="宋体"/>
          <w:sz w:val="21"/>
          <w:szCs w:val="21"/>
          <w:highlight w:val="none"/>
        </w:rPr>
        <w:t xml:space="preserve">交货时应提供设备的照片（前、后、左、右、顶）及主要技术参数。</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5.</w:t>
      </w:r>
      <w:r>
        <w:rPr>
          <w:rFonts w:hint="default" w:ascii="宋体" w:hAnsi="宋体" w:eastAsia="宋体"/>
          <w:sz w:val="21"/>
          <w:szCs w:val="21"/>
          <w:highlight w:val="none"/>
        </w:rPr>
        <w:t xml:space="preserve">设备出厂检验证书、测试报告或记录（英文或原文、与原文相对应的中文翻译件）。</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6.</w:t>
      </w:r>
      <w:r>
        <w:rPr>
          <w:rFonts w:hint="default" w:ascii="宋体" w:hAnsi="宋体" w:eastAsia="宋体"/>
          <w:sz w:val="21"/>
          <w:szCs w:val="21"/>
          <w:highlight w:val="none"/>
        </w:rPr>
        <w:t xml:space="preserve">发动机号码拓印件、底盘号码拓印件、车辆合格证（英文或原文、与原文相对应的中文翻译件）。</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（四）</w:t>
      </w:r>
      <w:r>
        <w:rPr>
          <w:rFonts w:hint="default" w:ascii="宋体" w:hAnsi="宋体" w:eastAsia="宋体"/>
          <w:sz w:val="21"/>
          <w:szCs w:val="21"/>
          <w:highlight w:val="none"/>
        </w:rPr>
        <w:t xml:space="preserve">车上阀门、开关、按钮等指示、标牌应标志中文。</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（五）</w:t>
      </w:r>
      <w:r>
        <w:rPr>
          <w:rFonts w:hint="default" w:ascii="宋体" w:hAnsi="宋体" w:eastAsia="宋体"/>
          <w:sz w:val="21"/>
          <w:szCs w:val="21"/>
          <w:highlight w:val="none"/>
        </w:rPr>
        <w:t xml:space="preserve">交接、培训、保修期、售后服务</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1.</w:t>
      </w:r>
      <w:r>
        <w:rPr>
          <w:rFonts w:hint="default" w:ascii="宋体" w:hAnsi="宋体" w:eastAsia="宋体"/>
          <w:sz w:val="21"/>
          <w:szCs w:val="21"/>
          <w:highlight w:val="none"/>
        </w:rPr>
        <w:t xml:space="preserve">交接清单（英文或原文、与原文相对应的中文翻译件）,货物交货地点统一由甲方指定目的地。</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2.</w:t>
      </w:r>
      <w:r>
        <w:rPr>
          <w:rFonts w:hint="default" w:ascii="宋体" w:hAnsi="宋体" w:eastAsia="宋体"/>
          <w:sz w:val="21"/>
          <w:szCs w:val="21"/>
          <w:highlight w:val="none"/>
        </w:rPr>
        <w:t xml:space="preserve">培训计划（中文版）：提供培训计划，培训时间为货到后不得超过15个工作日，培训用的文字和影视资料，影视资料需包含产品介绍、操作使用、维护保养、常见故障判断等内容。</w:t>
      </w:r>
      <w:r/>
    </w:p>
    <w:p>
      <w:pPr>
        <w:ind w:firstLine="420"/>
        <w:spacing w:line="360" w:lineRule="auto"/>
        <w:rPr>
          <w:rFonts w:hint="default" w:ascii="宋体" w:hAnsi="宋体" w:eastAsia="宋体"/>
          <w:bCs/>
          <w:sz w:val="21"/>
          <w:szCs w:val="21"/>
          <w:highlight w:val="none"/>
        </w:rPr>
      </w:pPr>
      <w:r>
        <w:rPr>
          <w:rFonts w:hint="eastAsia" w:ascii="宋体" w:hAnsi="宋体" w:eastAsia="宋体"/>
          <w:bCs/>
          <w:sz w:val="21"/>
          <w:szCs w:val="21"/>
          <w:highlight w:val="none"/>
        </w:rPr>
        <w:t xml:space="preserve">3.</w:t>
      </w:r>
      <w:r>
        <w:rPr>
          <w:rFonts w:hint="default" w:ascii="宋体" w:hAnsi="宋体" w:eastAsia="宋体"/>
          <w:bCs/>
          <w:sz w:val="21"/>
          <w:szCs w:val="21"/>
          <w:highlight w:val="none"/>
        </w:rPr>
        <w:t xml:space="preserve">保修期：要求整车质保</w:t>
      </w:r>
      <w:r>
        <w:rPr>
          <w:rFonts w:hint="eastAsia" w:ascii="宋体" w:hAnsi="宋体" w:eastAsia="宋体"/>
          <w:b/>
          <w:bCs w:val="0"/>
          <w:sz w:val="21"/>
          <w:szCs w:val="21"/>
          <w:highlight w:val="none"/>
          <w:lang w:val="en-US" w:eastAsia="zh-CN"/>
        </w:rPr>
        <w:t xml:space="preserve">2</w:t>
      </w:r>
      <w:r>
        <w:rPr>
          <w:rFonts w:hint="default" w:ascii="宋体" w:hAnsi="宋体" w:eastAsia="宋体"/>
          <w:b/>
          <w:bCs w:val="0"/>
          <w:sz w:val="21"/>
          <w:szCs w:val="21"/>
          <w:highlight w:val="none"/>
        </w:rPr>
        <w:t xml:space="preserve">年</w:t>
      </w:r>
      <w:r>
        <w:rPr>
          <w:rFonts w:hint="eastAsia" w:ascii="宋体" w:hAnsi="宋体" w:eastAsia="宋体"/>
          <w:bCs/>
          <w:sz w:val="21"/>
          <w:szCs w:val="21"/>
          <w:highlight w:val="none"/>
        </w:rPr>
        <w:t xml:space="preserve">（招标文件具体技术要求另有说明的除外）</w:t>
      </w:r>
      <w:r>
        <w:rPr>
          <w:rFonts w:hint="default" w:ascii="宋体" w:hAnsi="宋体" w:eastAsia="宋体"/>
          <w:bCs/>
          <w:sz w:val="21"/>
          <w:szCs w:val="21"/>
          <w:highlight w:val="none"/>
        </w:rPr>
        <w:t xml:space="preserve">，免费保修期为自货物交验后计算，产生设备的损坏和故障，由供应商负责免费更换或维修。</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4.</w:t>
      </w:r>
      <w:r>
        <w:rPr>
          <w:rFonts w:hint="default" w:ascii="宋体" w:hAnsi="宋体" w:eastAsia="宋体"/>
          <w:sz w:val="21"/>
          <w:szCs w:val="21"/>
          <w:highlight w:val="none"/>
        </w:rPr>
        <w:t xml:space="preserve">售后服务，投标单位需保证7*24小时售后服务热线开通，在接到采购单位报修电话以后，保证48小时内到达现场。</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（六）</w:t>
      </w:r>
      <w:r>
        <w:rPr>
          <w:rFonts w:hint="default" w:ascii="宋体" w:hAnsi="宋体" w:eastAsia="宋体"/>
          <w:sz w:val="21"/>
          <w:szCs w:val="21"/>
          <w:highlight w:val="none"/>
        </w:rPr>
        <w:t xml:space="preserve">其它</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1.</w:t>
      </w:r>
      <w:r>
        <w:rPr>
          <w:rFonts w:hint="default" w:ascii="宋体" w:hAnsi="宋体" w:eastAsia="宋体"/>
          <w:sz w:val="21"/>
          <w:szCs w:val="21"/>
          <w:highlight w:val="none"/>
        </w:rPr>
        <w:t xml:space="preserve">凡涉及使用气瓶、电源、水带的接口必须与江苏省公安消防总队现有各类接口配套。</w:t>
      </w:r>
      <w:r/>
    </w:p>
    <w:p>
      <w:pPr>
        <w:ind w:firstLine="420"/>
        <w:rPr>
          <w:rFonts w:hint="default" w:ascii="宋体" w:hAnsi="宋体" w:eastAsia="宋体"/>
          <w:sz w:val="21"/>
          <w:szCs w:val="21"/>
          <w:highlight w:val="none"/>
        </w:rPr>
      </w:pPr>
      <w:r>
        <w:rPr>
          <w:rFonts w:hint="eastAsia" w:ascii="宋体" w:hAnsi="宋体" w:eastAsia="宋体"/>
          <w:sz w:val="21"/>
          <w:szCs w:val="21"/>
          <w:highlight w:val="none"/>
        </w:rPr>
        <w:t xml:space="preserve">2.</w:t>
      </w:r>
      <w:r>
        <w:rPr>
          <w:rFonts w:hint="default" w:ascii="宋体" w:hAnsi="宋体" w:eastAsia="宋体"/>
          <w:sz w:val="21"/>
          <w:szCs w:val="21"/>
          <w:highlight w:val="none"/>
        </w:rPr>
        <w:t xml:space="preserve">整车所有设备应符合相互配套使用的要求</w:t>
      </w:r>
      <w:r>
        <w:rPr>
          <w:rFonts w:hint="eastAsia" w:ascii="宋体" w:hAnsi="宋体" w:eastAsia="宋体"/>
          <w:sz w:val="21"/>
          <w:szCs w:val="21"/>
          <w:highlight w:val="none"/>
        </w:rPr>
        <w:t xml:space="preserve">。</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（七）验收要求</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1.到货验收</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1.1 货物全部到达采购人指定地点后，采购人、中标人双方应派员共同对货物当场开箱进行外观验收，如中标人不能按采购人通知按时到达现场又未告知正当理由的，采购人有权单方开箱检验，相应检验结果对中标人有效。</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1.2 中标人交付的货物应当完全符合合同所约定的货物、数量和规格要求。中标人提供的货物不符合合同约定的，采购人有权拒收货物，并由中标人承担相应的违约责任及由此造成的相关损失。</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1.3 中标人应将所提供货物的装箱清单、用户手册、原厂保修卡、随机资料及配件、随车工具、质量合格凭证等交付给采购人；中标人不能完整交付上述规定的资料和工具的，视为未按合同约定交货，中标人负责补齐，因此导致逾期交付的，由中标人承担相应的违约责任及由此造成的相关损失。</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1.4 开箱验收的内容为核对到货情况：包装符合性；型号、数量及外观；货物所附技术资料、商务资料；货物组件及配置的型号、外观、数量；零配件、随车配套工具及辅助件的型号、外观、数量。</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1.5 有关货物外观、规格、数量或重量的检验不应视为最终检验。</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2. 最终验收</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2.1 货物安装调试结束后，中标人应以书面方式及时通知采购人对项目进行最终验收，验收合格的，由采购人、中标人双方签署验收单并加盖单位公章。</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2.2 货物最终验收包括：货物经过装卸、安装、调试后的外观、数量、型号；货物的材质；货物的性能；货物与投标文件或响应文件的符合度；检测报告齐全性等以及中标人承诺、采购人要求的其它指标。</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2.3 如验收不合格或在质量保证期内发现货物是不合格的，包括货物有明显的或潜在的缺陷、使用不符合要求的材料、运行效果达不到要求等，采购人有权提出书面异议，采购人向中标人提出书面异议后，中标人应在采购人书面异议限定的时间内根据采购人的要求进行调换或采取其他采购人同意的补救措施。由此产生的一切费用包括但不限于拆卸／搬运／运输／保管费用及责任等均由中标人承担。</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2.4 验收标准应遵循国家相关标准、行业通行标准、厂方出厂标准、采购文件要求和中标人承诺、采购人要求等。</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2.5 采购人有权要求中标人提供采购原材料或货物的采购合同、票据或付款凭证，以核实中标人供货来源的真实性。</w:t>
      </w:r>
      <w:r/>
    </w:p>
    <w:p>
      <w:pPr>
        <w:ind w:firstLine="422"/>
        <w:spacing w:line="360" w:lineRule="auto"/>
        <w:rPr>
          <w:rFonts w:hint="default"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六</w:t>
      </w:r>
      <w:r>
        <w:rPr>
          <w:rFonts w:hint="eastAsia" w:ascii="宋体" w:hAnsi="宋体" w:eastAsia="宋体"/>
          <w:b/>
          <w:bCs/>
          <w:sz w:val="21"/>
          <w:szCs w:val="21"/>
          <w:highlight w:val="none"/>
        </w:rPr>
        <w:t xml:space="preserve">、综合说明其他要求</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1、投标单位所投产品应明确所投产品的品牌、型号、规格和外形、尺寸及一些必须说明的技术参数，以及设备配置清单，同时明确生产厂家、型号规格等，并提供详细的技术参数及性能说明书。</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2、投标单位根据招标文件中提出的全部技术规格与要求选择配置并列出所投设备的技术规格，如果以其中某些条款不响应时，应在投标文件中逐条列出，未列出的视同响应。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3、投标总报价一次报定，投标总报价包括所投产品（含附属配套设施设备、器材）及其备品、备件和专用工具费用、税费及包装、运至最终目的地的运输、车辆上牌前的临时保险、现场吊装、检测验收、安装调试、验收及相关费用、协助车辆上牌、技术支持与培训、售后服务与维保及相关劳务支出等工作所发生的全部费用以及投标人利润、税金和政策性文件规定及合同包含的所有风险、责任等各项应有费用。（车辆购置税和机动车保险费用不含在投标总报价中）</w:t>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4、</w:t>
      </w:r>
      <w:r>
        <w:rPr>
          <w:rFonts w:hint="eastAsia" w:ascii="宋体" w:hAnsi="宋体" w:eastAsia="宋体" w:cs="宋体"/>
          <w:sz w:val="21"/>
          <w:szCs w:val="21"/>
          <w:highlight w:val="none"/>
        </w:rPr>
        <w:t xml:space="preserve">交货日期：</w:t>
      </w:r>
      <w:r>
        <w:rPr>
          <w:rFonts w:hint="eastAsia" w:ascii="宋体" w:hAnsi="宋体" w:eastAsia="宋体" w:cs="宋体"/>
          <w:sz w:val="21"/>
          <w:szCs w:val="21"/>
          <w:highlight w:val="none"/>
          <w:lang w:eastAsia="zh-CN"/>
        </w:rPr>
        <w:t xml:space="preserve">自合同签订生效后11个月内完成全部采购内容的供货安装调试并交付正常使用，具体根据采购单位要求。</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5、交货地点：具体按照采购单位要求。</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left="420"/>
        <w:tabs>
          <w:tab w:val="left" w:pos="640" w:leader="none"/>
        </w:tabs>
        <w:rPr>
          <w:rFonts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七</w:t>
      </w:r>
      <w:r>
        <w:rPr>
          <w:rFonts w:hint="eastAsia" w:ascii="宋体" w:hAnsi="宋体" w:eastAsia="宋体" w:cs="宋体"/>
          <w:b/>
          <w:bCs/>
          <w:sz w:val="21"/>
          <w:szCs w:val="21"/>
          <w:highlight w:val="none"/>
        </w:rPr>
        <w:t xml:space="preserve">、综合说明</w:t>
      </w:r>
      <w:r/>
    </w:p>
    <w:p>
      <w:pPr>
        <w:ind w:firstLine="420"/>
        <w:spacing w:line="360" w:lineRule="auto"/>
        <w:tabs>
          <w:tab w:val="left" w:pos="567" w:leader="none"/>
        </w:tabs>
        <w:rPr>
          <w:rFonts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bidi="ar-SA"/>
        </w:rPr>
        <w:t xml:space="preserve">本次招标不接受整车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60" w:lineRule="auto"/>
        <w:tabs>
          <w:tab w:val="left" w:pos="567" w:leader="none"/>
        </w:tabs>
        <w:rPr>
          <w:rFonts w:ascii="宋体" w:hAnsi="宋体" w:eastAsia="宋体" w:cs="宋体"/>
          <w:sz w:val="21"/>
          <w:szCs w:val="21"/>
          <w:highlight w:val="none"/>
        </w:rPr>
      </w:pPr>
      <w:r>
        <w:rPr>
          <w:rFonts w:hint="eastAsia" w:ascii="宋体" w:hAnsi="宋体" w:eastAsia="宋体" w:cs="宋体"/>
          <w:sz w:val="21"/>
          <w:szCs w:val="21"/>
          <w:highlight w:val="none"/>
        </w:rPr>
        <w:t xml:space="preserve">2、投标供应商中标后提供货物及配件均为按国家规格条例生产的合格正规产品、符合设计规范要求。</w:t>
      </w:r>
      <w:r/>
    </w:p>
    <w:p>
      <w:pPr>
        <w:ind w:firstLine="420"/>
        <w:spacing w:line="360" w:lineRule="auto"/>
        <w:tabs>
          <w:tab w:val="left" w:pos="567" w:leader="none"/>
        </w:tabs>
        <w:rPr>
          <w:rFonts w:ascii="宋体" w:hAnsi="宋体" w:eastAsia="宋体" w:cs="宋体"/>
          <w:sz w:val="21"/>
          <w:szCs w:val="21"/>
          <w:highlight w:val="none"/>
        </w:rPr>
      </w:pPr>
      <w:r>
        <w:rPr>
          <w:rFonts w:ascii="宋体" w:hAnsi="宋体" w:eastAsia="宋体" w:cs="宋体"/>
          <w:sz w:val="21"/>
          <w:szCs w:val="21"/>
          <w:highlight w:val="none"/>
        </w:rPr>
        <w:t xml:space="preserve">3</w:t>
      </w:r>
      <w:r>
        <w:rPr>
          <w:rFonts w:hint="eastAsia" w:ascii="宋体" w:hAnsi="宋体" w:eastAsia="宋体" w:cs="宋体"/>
          <w:sz w:val="21"/>
          <w:szCs w:val="21"/>
          <w:highlight w:val="none"/>
        </w:rPr>
        <w:t xml:space="preserve">、应能保证所提供货物涉及到的知识产权是合法取得，并享有完整的知识产权，不会因为需方的使用而被责令停止使用、追偿或要求赔偿损失，如出现此情况，一切经济和法律责任均由供方承担。供方提供的所有货物必须为合格产品，质量符合国际或国家通用标准，如出现质量问题或系假冒伪劣产品，供应商负责包退、包换，发生的费用由供应商负责。</w:t>
      </w:r>
      <w:r/>
    </w:p>
    <w:p>
      <w:pPr>
        <w:ind w:firstLine="420"/>
        <w:spacing w:line="360" w:lineRule="auto"/>
        <w:rPr>
          <w:rFonts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中标人应当遵守保密原则，对因订立和执行本合同过程中所了解或知悉或获取的对方的一切信息、国家秘密、商业秘密和个人隐私予以保密，在本合同服务期内及本合同解除或终止后均不得向采购人以外的第三方提供保密信息，除非得到采购人的同意或者属于法律、行政法规允许的范围。</w:t>
      </w:r>
      <w:bookmarkEnd w:id="54"/>
      <w:r/>
      <w:bookmarkEnd w:id="55"/>
      <w:r/>
      <w:r/>
    </w:p>
    <w:p>
      <w:pPr>
        <w:ind w:firstLine="422"/>
        <w:spacing w:line="360" w:lineRule="auto"/>
        <w:tabs>
          <w:tab w:val="left" w:pos="3600" w:leader="none"/>
        </w:tabs>
        <w:rPr>
          <w:rFonts w:ascii="宋体" w:hAnsi="宋体" w:eastAsia="宋体"/>
          <w:b/>
          <w:sz w:val="21"/>
          <w:szCs w:val="22"/>
          <w:highlight w:val="none"/>
        </w:rPr>
      </w:pPr>
      <w:r>
        <w:rPr>
          <w:rFonts w:hint="eastAsia" w:ascii="宋体" w:hAnsi="宋体" w:eastAsia="宋体"/>
          <w:b/>
          <w:sz w:val="21"/>
          <w:szCs w:val="22"/>
          <w:highlight w:val="none"/>
        </w:rPr>
        <w:t xml:space="preserve">七、政府采购政策</w:t>
      </w:r>
      <w:r/>
    </w:p>
    <w:p>
      <w:pPr>
        <w:ind w:firstLine="420"/>
        <w:spacing w:line="360" w:lineRule="auto"/>
        <w:tabs>
          <w:tab w:val="left" w:pos="567" w:leader="none"/>
        </w:tabs>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中、小、微企业</w:t>
      </w:r>
      <w:r>
        <w:rPr>
          <w:rFonts w:hint="eastAsia" w:ascii="宋体" w:hAnsi="宋体" w:eastAsia="宋体" w:cs="宋体"/>
          <w:b/>
          <w:bCs/>
          <w:sz w:val="21"/>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sz w:val="21"/>
          <w:szCs w:val="21"/>
          <w:highlight w:val="none"/>
        </w:rPr>
        <w:t xml:space="preserve">小型企业和微型企业的投标报价扣除20%后参与评审。</w:t>
      </w:r>
      <w:r>
        <w:rPr>
          <w:rFonts w:hint="eastAsia" w:ascii="宋体" w:hAnsi="宋体" w:eastAsia="宋体" w:cs="宋体"/>
          <w:b/>
          <w:sz w:val="21"/>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sz w:val="21"/>
          <w:szCs w:val="21"/>
          <w:highlight w:val="none"/>
        </w:rPr>
        <w:t xml:space="preserve">服务类项目中供应商若使用退休人员，将不享受相关扶持政策。</w:t>
      </w:r>
      <w:r/>
    </w:p>
    <w:p>
      <w:pPr>
        <w:ind w:firstLine="422"/>
        <w:spacing w:line="360" w:lineRule="auto"/>
        <w:tabs>
          <w:tab w:val="left" w:pos="567" w:leader="none"/>
        </w:tabs>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60" w:lineRule="auto"/>
        <w:tabs>
          <w:tab w:val="left" w:pos="567" w:leader="none"/>
        </w:tabs>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（3）残疾人福利性单位</w:t>
      </w:r>
      <w:r>
        <w:rPr>
          <w:rFonts w:hint="eastAsia" w:ascii="宋体" w:hAnsi="宋体" w:eastAsia="宋体" w:cs="宋体"/>
          <w:b/>
          <w:bCs/>
          <w:sz w:val="21"/>
          <w:szCs w:val="21"/>
          <w:highlight w:val="none"/>
        </w:rPr>
        <w:t xml:space="preserve">（若为专门面向中小企业采购的项目或者采购包，不再执行价格评审优惠的扶持政策）</w:t>
      </w:r>
      <w:r/>
    </w:p>
    <w:p>
      <w:pPr>
        <w:ind w:firstLine="420"/>
        <w:spacing w:line="360" w:lineRule="auto"/>
        <w:tabs>
          <w:tab w:val="left" w:pos="567" w:leader="none"/>
        </w:tabs>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（4）监狱企业</w:t>
      </w:r>
      <w:r>
        <w:rPr>
          <w:rFonts w:hint="eastAsia" w:ascii="宋体" w:hAnsi="宋体" w:eastAsia="宋体" w:cs="宋体"/>
          <w:b/>
          <w:bCs/>
          <w:sz w:val="21"/>
          <w:szCs w:val="21"/>
          <w:highlight w:val="none"/>
        </w:rPr>
        <w:t xml:space="preserve">（若为专门面向中小企业采购的项目或者采购包，不再执行价格评审优惠的扶持政策）</w:t>
      </w:r>
      <w:r/>
    </w:p>
    <w:p>
      <w:pPr>
        <w:ind w:firstLine="420"/>
        <w:spacing w:line="360" w:lineRule="auto"/>
        <w:tabs>
          <w:tab w:val="left" w:pos="567" w:leader="none"/>
        </w:tabs>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（5）绿色采购</w:t>
      </w:r>
      <w:r/>
    </w:p>
    <w:p>
      <w:pPr>
        <w:ind w:firstLine="420"/>
        <w:spacing w:line="360" w:lineRule="auto"/>
        <w:tabs>
          <w:tab w:val="left" w:pos="567" w:leader="none"/>
        </w:tabs>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1）根据《关于调整优化节能产品、环境标志产品政府采购执行机制的通知》（财库〔2019〕9号）等相关文件的规定，</w:t>
      </w:r>
      <w:r>
        <w:rPr>
          <w:rFonts w:hint="eastAsia" w:ascii="宋体" w:hAnsi="宋体" w:eastAsia="宋体" w:cs="宋体"/>
          <w:b/>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tabs>
          <w:tab w:val="left" w:pos="420" w:leader="none"/>
        </w:tabs>
        <w:rPr>
          <w:rFonts w:ascii="宋体" w:hAnsi="宋体" w:eastAsia="宋体" w:cs="宋体"/>
          <w:b/>
          <w:sz w:val="21"/>
          <w:szCs w:val="21"/>
          <w:highlight w:val="none"/>
        </w:rPr>
      </w:pPr>
      <w:r>
        <w:rPr>
          <w:rFonts w:hint="eastAsia" w:ascii="宋体" w:hAnsi="宋体" w:eastAsia="宋体" w:cs="宋体"/>
          <w:b/>
          <w:sz w:val="21"/>
          <w:szCs w:val="21"/>
          <w:highlight w:val="none"/>
        </w:rPr>
        <w:t xml:space="preserve">八、关于对参与供应商信用记录的政府采购要求</w:t>
      </w:r>
      <w:r/>
    </w:p>
    <w:p>
      <w:pPr>
        <w:ind w:firstLine="420"/>
        <w:spacing w:line="360" w:lineRule="auto"/>
        <w:tabs>
          <w:tab w:val="left" w:pos="420" w:leader="none"/>
        </w:tabs>
        <w:rPr>
          <w:rFonts w:ascii="宋体" w:hAnsi="宋体" w:eastAsia="宋体" w:cs="宋体"/>
          <w:b/>
          <w:bCs/>
          <w:sz w:val="21"/>
          <w:szCs w:val="21"/>
          <w:highlight w:val="none"/>
        </w:rPr>
      </w:pPr>
      <w:r>
        <w:rPr>
          <w:rFonts w:hint="eastAsia" w:ascii="宋体" w:hAnsi="宋体" w:eastAsia="宋体" w:cs="宋体"/>
          <w:sz w:val="21"/>
          <w:szCs w:val="21"/>
          <w:highlight w:val="none"/>
        </w:rPr>
        <w:t xml:space="preserve">1、采购代理机构会在接收招标文件截止时间后，登录信用中国网站（www.creditchina.gov.cn/）和中国政府采购网（www.ccgp.gov.cn/）查询供应商的信用记录，并将查询结果递交评审小组。</w:t>
      </w:r>
      <w:r/>
    </w:p>
    <w:p>
      <w:pPr>
        <w:ind w:firstLine="420"/>
        <w:spacing w:line="360" w:lineRule="auto"/>
        <w:tabs>
          <w:tab w:val="left" w:pos="567" w:leader="none"/>
        </w:tabs>
        <w:rPr>
          <w:rFonts w:ascii="宋体" w:hAnsi="宋体" w:eastAsia="宋体" w:cs="宋体"/>
          <w:sz w:val="21"/>
          <w:szCs w:val="21"/>
          <w:highlight w:val="none"/>
        </w:rPr>
      </w:pPr>
      <w:r>
        <w:rPr>
          <w:rFonts w:hint="eastAsia" w:ascii="宋体" w:hAnsi="宋体" w:eastAsia="宋体" w:cs="宋体"/>
          <w:sz w:val="21"/>
          <w:szCs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eastAsia="宋体" w:cs="宋体"/>
          <w:sz w:val="21"/>
          <w:szCs w:val="21"/>
          <w:highlight w:val="none"/>
        </w:rPr>
      </w:pPr>
      <w:r>
        <w:rPr>
          <w:rFonts w:hint="eastAsia" w:ascii="宋体" w:hAnsi="宋体" w:eastAsia="宋体" w:cs="宋体"/>
          <w:sz w:val="21"/>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eastAsia="宋体" w:cs="宋体"/>
          <w:sz w:val="21"/>
          <w:szCs w:val="21"/>
          <w:highlight w:val="none"/>
        </w:rPr>
      </w:pPr>
      <w:r>
        <w:rPr>
          <w:rFonts w:hint="eastAsia" w:ascii="宋体" w:hAnsi="宋体" w:eastAsia="宋体" w:cs="宋体"/>
          <w:sz w:val="21"/>
          <w:szCs w:val="21"/>
          <w:highlight w:val="none"/>
        </w:rPr>
        <w:t xml:space="preserve">3、供应商若在经营活动中受到罚款的，请携带相关地方、部门对较大数额认定标准的证明材料，与招标文件一并提交。若无法提供，则可能承担响应无效等相应不利后果。</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4、对存在失信信息的供应商，采购代理机构工作人员应根据评审小组确认的失信信息，登陆到相关来源网站页面进行复核并打印，作为证据留存。</w:t>
      </w:r>
      <w:r/>
    </w:p>
    <w:p>
      <w:pPr>
        <w:pStyle w:val="702"/>
        <w:ind w:firstLine="422"/>
        <w:rPr>
          <w:rFonts w:ascii="宋体" w:hAnsi="宋体" w:eastAsia="宋体" w:cs="宋体"/>
          <w:b/>
          <w:sz w:val="21"/>
          <w:szCs w:val="21"/>
          <w:highlight w:val="none"/>
        </w:rPr>
      </w:pPr>
      <w:r>
        <w:rPr>
          <w:rFonts w:hint="eastAsia" w:ascii="宋体" w:hAnsi="宋体" w:eastAsia="宋体" w:cs="宋体"/>
          <w:b/>
          <w:sz w:val="21"/>
          <w:szCs w:val="21"/>
          <w:highlight w:val="none"/>
        </w:rPr>
        <w:t xml:space="preserve">九、凡涉及招标文件的补充说明和修改，均以苏州市政府采购网等发布的最新信息为准。</w:t>
      </w:r>
      <w:bookmarkEnd w:id="32"/>
      <w:r/>
      <w:r/>
    </w:p>
    <w:p>
      <w:pPr>
        <w:jc w:val="center"/>
        <w:spacing w:line="360" w:lineRule="auto"/>
        <w:rPr>
          <w:rFonts w:ascii="宋体" w:hAnsi="宋体" w:eastAsia="宋体"/>
          <w:b/>
          <w:bCs/>
          <w:sz w:val="44"/>
          <w:szCs w:val="44"/>
          <w:highlight w:val="none"/>
        </w:rPr>
        <w:outlineLvl w:val="0"/>
      </w:pPr>
      <w:r>
        <w:rPr>
          <w:rFonts w:hint="eastAsia" w:ascii="宋体" w:hAnsi="宋体" w:eastAsia="宋体"/>
          <w:b/>
          <w:sz w:val="32"/>
          <w:szCs w:val="32"/>
          <w:highlight w:val="none"/>
        </w:rPr>
        <w:br w:type="page" w:clear="all"/>
      </w:r>
      <w:bookmarkStart w:id="56" w:name="_Toc35951275"/>
      <w:r/>
      <w:bookmarkStart w:id="57" w:name="_Toc488677788"/>
      <w:r/>
      <w:bookmarkStart w:id="58" w:name="_Toc501527304"/>
      <w:r>
        <w:rPr>
          <w:rFonts w:hint="eastAsia" w:ascii="宋体" w:hAnsi="宋体" w:eastAsia="宋体"/>
          <w:b/>
          <w:sz w:val="32"/>
          <w:szCs w:val="32"/>
          <w:highlight w:val="none"/>
        </w:rPr>
        <w:t xml:space="preserve">第五章 合同主要条款</w:t>
      </w:r>
      <w:bookmarkEnd w:id="56"/>
      <w:r/>
      <w:bookmarkEnd w:id="57"/>
      <w:r/>
      <w:r/>
    </w:p>
    <w:tbl>
      <w:tblPr>
        <w:tblStyle w:val="701"/>
        <w:tblW w:w="0" w:type="dxa"/>
        <w:jc w:val="center"/>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jc w:val="center"/>
          <w:trHeight w:val="397"/>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1"/>
                <w:szCs w:val="22"/>
                <w:highlight w:val="none"/>
              </w:rPr>
              <w:t xml:space="preserve">甲方（采购人）：</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1"/>
                <w:szCs w:val="22"/>
                <w:highlight w:val="none"/>
              </w:rPr>
              <w:t xml:space="preserve">单位地址：</w:t>
            </w:r>
            <w:r/>
          </w:p>
        </w:tc>
      </w:tr>
      <w:tr>
        <w:trPr>
          <w:jc w:val="center"/>
          <w:trHeight w:val="397"/>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1"/>
                <w:szCs w:val="22"/>
                <w:highlight w:val="none"/>
              </w:rPr>
              <w:t xml:space="preserve">乙方（供应商）：</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1"/>
                <w:szCs w:val="22"/>
                <w:highlight w:val="none"/>
              </w:rPr>
              <w:t xml:space="preserve">单位地址：</w:t>
            </w:r>
            <w:r/>
          </w:p>
        </w:tc>
      </w:tr>
      <w:tr>
        <w:trPr>
          <w:jc w:val="center"/>
          <w:trHeight w:val="397"/>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1"/>
                <w:szCs w:val="22"/>
                <w:highlight w:val="none"/>
              </w:rPr>
              <w:t xml:space="preserve">签订日期：</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1"/>
                <w:szCs w:val="22"/>
                <w:highlight w:val="none"/>
              </w:rPr>
              <w:t xml:space="preserve">签订地点：</w:t>
            </w:r>
            <w:r/>
          </w:p>
        </w:tc>
      </w:tr>
    </w:tbl>
    <w:p>
      <w:pPr>
        <w:ind w:right="31" w:firstLine="420"/>
        <w:jc w:val="left"/>
        <w:spacing w:line="360" w:lineRule="auto"/>
        <w:rPr>
          <w:rFonts w:hint="default" w:ascii="宋体" w:hAnsi="宋体" w:eastAsia="宋体" w:cs="宋体"/>
          <w:sz w:val="21"/>
          <w:szCs w:val="21"/>
          <w:highlight w:val="none"/>
        </w:rPr>
      </w:pPr>
      <w:r/>
      <w:bookmarkStart w:id="59" w:name="_Toc35951276"/>
      <w:r>
        <w:rPr>
          <w:rFonts w:hint="eastAsia" w:ascii="宋体" w:hAnsi="宋体" w:eastAsia="宋体" w:cs="宋体"/>
          <w:sz w:val="21"/>
          <w:szCs w:val="21"/>
          <w:highlight w:val="none"/>
        </w:rPr>
        <w:t xml:space="preserve">根据《中华人民共和国政府采购法》、《中华人民共和国民法典》等相关法律法规的规定、</w:t>
      </w:r>
      <w:r>
        <w:rPr>
          <w:rFonts w:hint="eastAsia" w:ascii="宋体" w:hAnsi="宋体" w:eastAsia="宋体" w:cs="宋体"/>
          <w:sz w:val="21"/>
          <w:szCs w:val="21"/>
          <w:highlight w:val="none"/>
          <w:lang w:eastAsia="zh-CN"/>
        </w:rPr>
        <w:t xml:space="preserve">苏州嘉泓瑞项目管理咨询有限公司</w:t>
      </w:r>
      <w:r>
        <w:rPr>
          <w:rFonts w:hint="eastAsia" w:ascii="宋体" w:hAnsi="宋体" w:eastAsia="宋体" w:cs="宋体"/>
          <w:sz w:val="21"/>
          <w:szCs w:val="21"/>
          <w:highlight w:val="none"/>
        </w:rPr>
        <w:t xml:space="preserve">采购编号</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号公开招标文件及乙方的投标文件和中标通知书,甲乙双方就此次中标的</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rPr>
        <w:t xml:space="preserve">  项目</w:t>
      </w:r>
      <w:r>
        <w:rPr>
          <w:rFonts w:hint="eastAsia" w:ascii="宋体" w:hAnsi="宋体" w:eastAsia="宋体" w:cs="宋体"/>
          <w:sz w:val="21"/>
          <w:szCs w:val="21"/>
          <w:highlight w:val="none"/>
        </w:rPr>
        <w:t xml:space="preserve">的购销事宜，签订本合同书。</w:t>
      </w:r>
      <w:r/>
    </w:p>
    <w:p>
      <w:pPr>
        <w:numPr>
          <w:ilvl w:val="0"/>
          <w:numId w:val="5"/>
        </w:numPr>
        <w:spacing w:line="360" w:lineRule="auto"/>
        <w:rPr>
          <w:rFonts w:hint="default" w:ascii="宋体" w:hAnsi="宋体" w:eastAsia="宋体" w:cs="宋体"/>
          <w:b/>
          <w:sz w:val="21"/>
          <w:szCs w:val="21"/>
          <w:highlight w:val="none"/>
        </w:rPr>
      </w:pPr>
      <w:r>
        <w:rPr>
          <w:rFonts w:hint="eastAsia" w:ascii="宋体" w:hAnsi="宋体" w:eastAsia="宋体" w:cs="宋体"/>
          <w:b/>
          <w:sz w:val="21"/>
          <w:szCs w:val="21"/>
          <w:highlight w:val="none"/>
        </w:rPr>
        <w:t xml:space="preserve">项目内容：</w:t>
      </w:r>
      <w:r/>
    </w:p>
    <w:tbl>
      <w:tblPr>
        <w:tblStyle w:val="7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796"/>
        <w:gridCol w:w="1424"/>
        <w:gridCol w:w="921"/>
        <w:gridCol w:w="792"/>
        <w:gridCol w:w="1111"/>
        <w:gridCol w:w="898"/>
        <w:gridCol w:w="896"/>
      </w:tblGrid>
      <w:tr>
        <w:trPr>
          <w:jc w:val="center"/>
          <w:trHeight w:val="389"/>
        </w:trPr>
        <w:tc>
          <w:tcPr>
            <w:tcW w:w="762" w:type="dxa"/>
            <w:vAlign w:val="center"/>
            <w:textDirection w:val="lrTb"/>
            <w:noWrap w:val="false"/>
          </w:tcPr>
          <w:p>
            <w:pPr>
              <w:jc w:val="center"/>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1796" w:type="dxa"/>
            <w:vAlign w:val="center"/>
            <w:textDirection w:val="lrTb"/>
            <w:noWrap w:val="false"/>
          </w:tcPr>
          <w:p>
            <w:pPr>
              <w:jc w:val="center"/>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项目名称</w:t>
            </w:r>
            <w:r/>
          </w:p>
        </w:tc>
        <w:tc>
          <w:tcPr>
            <w:tcW w:w="1424" w:type="dxa"/>
            <w:vAlign w:val="center"/>
            <w:textDirection w:val="lrTb"/>
            <w:noWrap w:val="false"/>
          </w:tcPr>
          <w:p>
            <w:pPr>
              <w:jc w:val="center"/>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规格、型号</w:t>
            </w:r>
            <w:r/>
          </w:p>
        </w:tc>
        <w:tc>
          <w:tcPr>
            <w:tcW w:w="921" w:type="dxa"/>
            <w:vAlign w:val="center"/>
            <w:textDirection w:val="lrTb"/>
            <w:noWrap w:val="false"/>
          </w:tcPr>
          <w:p>
            <w:pPr>
              <w:jc w:val="center"/>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单位</w:t>
            </w:r>
            <w:r/>
          </w:p>
        </w:tc>
        <w:tc>
          <w:tcPr>
            <w:tcW w:w="792" w:type="dxa"/>
            <w:vAlign w:val="center"/>
            <w:textDirection w:val="lrTb"/>
            <w:noWrap w:val="false"/>
          </w:tcPr>
          <w:p>
            <w:pPr>
              <w:jc w:val="center"/>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W w:w="1111" w:type="dxa"/>
            <w:vAlign w:val="center"/>
            <w:textDirection w:val="lrTb"/>
            <w:noWrap w:val="false"/>
          </w:tcPr>
          <w:p>
            <w:pPr>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生产厂家</w:t>
            </w:r>
            <w:r/>
          </w:p>
        </w:tc>
        <w:tc>
          <w:tcPr>
            <w:tcW w:w="898" w:type="dxa"/>
            <w:vAlign w:val="center"/>
            <w:textDirection w:val="lrTb"/>
            <w:noWrap w:val="false"/>
          </w:tcPr>
          <w:p>
            <w:pPr>
              <w:jc w:val="center"/>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单价</w:t>
            </w:r>
            <w:r/>
          </w:p>
          <w:p>
            <w:pPr>
              <w:jc w:val="center"/>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（元）</w:t>
            </w:r>
            <w:r/>
          </w:p>
        </w:tc>
        <w:tc>
          <w:tcPr>
            <w:tcW w:w="896" w:type="dxa"/>
            <w:vAlign w:val="center"/>
            <w:textDirection w:val="lrTb"/>
            <w:noWrap w:val="false"/>
          </w:tcPr>
          <w:p>
            <w:pPr>
              <w:jc w:val="center"/>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总价</w:t>
            </w:r>
            <w:r/>
          </w:p>
          <w:p>
            <w:pPr>
              <w:jc w:val="center"/>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（元）</w:t>
            </w:r>
            <w:r/>
          </w:p>
        </w:tc>
      </w:tr>
      <w:tr>
        <w:trPr>
          <w:jc w:val="center"/>
          <w:trHeight w:val="226"/>
        </w:trPr>
        <w:tc>
          <w:tcPr>
            <w:tcW w:w="762" w:type="dxa"/>
            <w:vAlign w:val="center"/>
            <w:textDirection w:val="lrTb"/>
            <w:noWrap w:val="false"/>
          </w:tcPr>
          <w:p>
            <w:pPr>
              <w:jc w:val="center"/>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796" w:type="dxa"/>
            <w:vAlign w:val="center"/>
            <w:textDirection w:val="lrTb"/>
            <w:noWrap w:val="false"/>
          </w:tcPr>
          <w:p>
            <w:pPr>
              <w:jc w:val="center"/>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tc>
        <w:tc>
          <w:tcPr>
            <w:tcW w:w="1424" w:type="dxa"/>
            <w:vAlign w:val="center"/>
            <w:textDirection w:val="lrTb"/>
            <w:noWrap w:val="false"/>
          </w:tcPr>
          <w:p>
            <w:pPr>
              <w:jc w:val="center"/>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tc>
        <w:tc>
          <w:tcPr>
            <w:tcW w:w="921" w:type="dxa"/>
            <w:vAlign w:val="center"/>
            <w:textDirection w:val="lrTb"/>
            <w:noWrap w:val="false"/>
          </w:tcPr>
          <w:p>
            <w:pPr>
              <w:jc w:val="center"/>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tc>
        <w:tc>
          <w:tcPr>
            <w:tcW w:w="792" w:type="dxa"/>
            <w:vAlign w:val="center"/>
            <w:textDirection w:val="lrTb"/>
            <w:noWrap w:val="false"/>
          </w:tcPr>
          <w:p>
            <w:pPr>
              <w:jc w:val="center"/>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tc>
        <w:tc>
          <w:tcPr>
            <w:tcW w:w="1111" w:type="dxa"/>
            <w:vAlign w:val="center"/>
            <w:textDirection w:val="lrTb"/>
            <w:noWrap w:val="false"/>
          </w:tcPr>
          <w:p>
            <w:pPr>
              <w:jc w:val="center"/>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tc>
        <w:tc>
          <w:tcPr>
            <w:tcW w:w="898" w:type="dxa"/>
            <w:vAlign w:val="center"/>
            <w:textDirection w:val="lrTb"/>
            <w:noWrap w:val="false"/>
          </w:tcPr>
          <w:p>
            <w:pPr>
              <w:jc w:val="center"/>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tc>
        <w:tc>
          <w:tcPr>
            <w:tcW w:w="896" w:type="dxa"/>
            <w:vAlign w:val="center"/>
            <w:textDirection w:val="lrTb"/>
            <w:noWrap w:val="false"/>
          </w:tcPr>
          <w:p>
            <w:pPr>
              <w:jc w:val="center"/>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tc>
      </w:tr>
      <w:tr>
        <w:trPr>
          <w:jc w:val="center"/>
          <w:trHeight w:val="226"/>
        </w:trPr>
        <w:tc>
          <w:tcPr>
            <w:tcW w:w="762" w:type="dxa"/>
            <w:vAlign w:val="center"/>
            <w:textDirection w:val="lrTb"/>
            <w:noWrap w:val="false"/>
          </w:tcPr>
          <w:p>
            <w:pPr>
              <w:jc w:val="center"/>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796" w:type="dxa"/>
            <w:vAlign w:val="center"/>
            <w:textDirection w:val="lrTb"/>
            <w:noWrap w:val="false"/>
          </w:tcPr>
          <w:p>
            <w:pPr>
              <w:jc w:val="center"/>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tc>
        <w:tc>
          <w:tcPr>
            <w:tcW w:w="1424" w:type="dxa"/>
            <w:vAlign w:val="center"/>
            <w:textDirection w:val="lrTb"/>
            <w:noWrap w:val="false"/>
          </w:tcPr>
          <w:p>
            <w:pPr>
              <w:jc w:val="center"/>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tc>
        <w:tc>
          <w:tcPr>
            <w:tcW w:w="921" w:type="dxa"/>
            <w:vAlign w:val="center"/>
            <w:textDirection w:val="lrTb"/>
            <w:noWrap w:val="false"/>
          </w:tcPr>
          <w:p>
            <w:pPr>
              <w:jc w:val="center"/>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tc>
        <w:tc>
          <w:tcPr>
            <w:tcW w:w="792" w:type="dxa"/>
            <w:vAlign w:val="center"/>
            <w:textDirection w:val="lrTb"/>
            <w:noWrap w:val="false"/>
          </w:tcPr>
          <w:p>
            <w:pPr>
              <w:jc w:val="center"/>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tc>
        <w:tc>
          <w:tcPr>
            <w:tcW w:w="1111" w:type="dxa"/>
            <w:vAlign w:val="center"/>
            <w:textDirection w:val="lrTb"/>
            <w:noWrap w:val="false"/>
          </w:tcPr>
          <w:p>
            <w:pPr>
              <w:jc w:val="center"/>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tc>
        <w:tc>
          <w:tcPr>
            <w:tcW w:w="898" w:type="dxa"/>
            <w:vAlign w:val="center"/>
            <w:textDirection w:val="lrTb"/>
            <w:noWrap w:val="false"/>
          </w:tcPr>
          <w:p>
            <w:pPr>
              <w:jc w:val="center"/>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tc>
        <w:tc>
          <w:tcPr>
            <w:tcW w:w="896" w:type="dxa"/>
            <w:vAlign w:val="center"/>
            <w:textDirection w:val="lrTb"/>
            <w:noWrap w:val="false"/>
          </w:tcPr>
          <w:p>
            <w:pPr>
              <w:jc w:val="center"/>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tc>
      </w:tr>
      <w:tr>
        <w:trPr>
          <w:jc w:val="center"/>
          <w:trHeight w:val="226"/>
        </w:trPr>
        <w:tc>
          <w:tcPr>
            <w:tcW w:w="762" w:type="dxa"/>
            <w:vAlign w:val="center"/>
            <w:textDirection w:val="lrTb"/>
            <w:noWrap w:val="false"/>
          </w:tcPr>
          <w:p>
            <w:pPr>
              <w:jc w:val="center"/>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796" w:type="dxa"/>
            <w:vAlign w:val="center"/>
            <w:textDirection w:val="lrTb"/>
            <w:noWrap w:val="false"/>
          </w:tcPr>
          <w:p>
            <w:pPr>
              <w:jc w:val="center"/>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tc>
        <w:tc>
          <w:tcPr>
            <w:tcW w:w="1424" w:type="dxa"/>
            <w:vAlign w:val="center"/>
            <w:textDirection w:val="lrTb"/>
            <w:noWrap w:val="false"/>
          </w:tcPr>
          <w:p>
            <w:pPr>
              <w:jc w:val="center"/>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tc>
        <w:tc>
          <w:tcPr>
            <w:tcW w:w="921" w:type="dxa"/>
            <w:vAlign w:val="center"/>
            <w:textDirection w:val="lrTb"/>
            <w:noWrap w:val="false"/>
          </w:tcPr>
          <w:p>
            <w:pPr>
              <w:jc w:val="center"/>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tc>
        <w:tc>
          <w:tcPr>
            <w:tcW w:w="792" w:type="dxa"/>
            <w:vAlign w:val="center"/>
            <w:textDirection w:val="lrTb"/>
            <w:noWrap w:val="false"/>
          </w:tcPr>
          <w:p>
            <w:pPr>
              <w:jc w:val="center"/>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tc>
        <w:tc>
          <w:tcPr>
            <w:tcW w:w="1111" w:type="dxa"/>
            <w:vAlign w:val="center"/>
            <w:textDirection w:val="lrTb"/>
            <w:noWrap w:val="false"/>
          </w:tcPr>
          <w:p>
            <w:pPr>
              <w:jc w:val="center"/>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tc>
        <w:tc>
          <w:tcPr>
            <w:tcW w:w="898" w:type="dxa"/>
            <w:vAlign w:val="center"/>
            <w:textDirection w:val="lrTb"/>
            <w:noWrap w:val="false"/>
          </w:tcPr>
          <w:p>
            <w:pPr>
              <w:jc w:val="center"/>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tc>
        <w:tc>
          <w:tcPr>
            <w:tcW w:w="896" w:type="dxa"/>
            <w:vAlign w:val="center"/>
            <w:textDirection w:val="lrTb"/>
            <w:noWrap w:val="false"/>
          </w:tcPr>
          <w:p>
            <w:pPr>
              <w:jc w:val="center"/>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tc>
      </w:tr>
      <w:tr>
        <w:trPr>
          <w:jc w:val="center"/>
          <w:trHeight w:val="226"/>
        </w:trPr>
        <w:tc>
          <w:tcPr>
            <w:tcW w:w="762" w:type="dxa"/>
            <w:vAlign w:val="center"/>
            <w:textDirection w:val="lrTb"/>
            <w:noWrap w:val="false"/>
          </w:tcPr>
          <w:p>
            <w:pPr>
              <w:jc w:val="center"/>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W w:w="1796" w:type="dxa"/>
            <w:vAlign w:val="center"/>
            <w:textDirection w:val="lrTb"/>
            <w:noWrap w:val="false"/>
          </w:tcPr>
          <w:p>
            <w:pPr>
              <w:jc w:val="center"/>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tc>
        <w:tc>
          <w:tcPr>
            <w:tcW w:w="1424" w:type="dxa"/>
            <w:vAlign w:val="center"/>
            <w:textDirection w:val="lrTb"/>
            <w:noWrap w:val="false"/>
          </w:tcPr>
          <w:p>
            <w:pPr>
              <w:jc w:val="center"/>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tc>
        <w:tc>
          <w:tcPr>
            <w:tcW w:w="921" w:type="dxa"/>
            <w:vAlign w:val="center"/>
            <w:textDirection w:val="lrTb"/>
            <w:noWrap w:val="false"/>
          </w:tcPr>
          <w:p>
            <w:pPr>
              <w:jc w:val="center"/>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tc>
        <w:tc>
          <w:tcPr>
            <w:tcW w:w="792" w:type="dxa"/>
            <w:vAlign w:val="center"/>
            <w:textDirection w:val="lrTb"/>
            <w:noWrap w:val="false"/>
          </w:tcPr>
          <w:p>
            <w:pPr>
              <w:jc w:val="center"/>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tc>
        <w:tc>
          <w:tcPr>
            <w:tcW w:w="1111" w:type="dxa"/>
            <w:vAlign w:val="center"/>
            <w:textDirection w:val="lrTb"/>
            <w:noWrap w:val="false"/>
          </w:tcPr>
          <w:p>
            <w:pPr>
              <w:jc w:val="center"/>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tc>
        <w:tc>
          <w:tcPr>
            <w:tcW w:w="898" w:type="dxa"/>
            <w:vAlign w:val="center"/>
            <w:textDirection w:val="lrTb"/>
            <w:noWrap w:val="false"/>
          </w:tcPr>
          <w:p>
            <w:pPr>
              <w:jc w:val="center"/>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tc>
        <w:tc>
          <w:tcPr>
            <w:tcW w:w="896" w:type="dxa"/>
            <w:vAlign w:val="center"/>
            <w:textDirection w:val="lrTb"/>
            <w:noWrap w:val="false"/>
          </w:tcPr>
          <w:p>
            <w:pPr>
              <w:jc w:val="center"/>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tc>
      </w:tr>
      <w:tr>
        <w:trPr>
          <w:jc w:val="center"/>
          <w:trHeight w:val="326"/>
        </w:trPr>
        <w:tc>
          <w:tcPr>
            <w:gridSpan w:val="8"/>
            <w:tcW w:w="8600" w:type="dxa"/>
            <w:vAlign w:val="center"/>
            <w:textDirection w:val="lrTb"/>
            <w:noWrap w:val="false"/>
          </w:tcPr>
          <w:p>
            <w:pPr>
              <w:jc w:val="left"/>
              <w:widowControl/>
              <w:rPr>
                <w:rFonts w:hint="default" w:ascii="宋体" w:hAnsi="宋体" w:eastAsia="宋体" w:cs="宋体"/>
                <w:b/>
                <w:sz w:val="21"/>
                <w:szCs w:val="21"/>
                <w:highlight w:val="none"/>
              </w:rPr>
            </w:pPr>
            <w:r>
              <w:rPr>
                <w:rFonts w:hint="eastAsia" w:ascii="宋体" w:hAnsi="宋体" w:eastAsia="宋体" w:cs="宋体"/>
                <w:b/>
                <w:sz w:val="21"/>
                <w:szCs w:val="21"/>
                <w:highlight w:val="none"/>
              </w:rPr>
              <w:t xml:space="preserve">合计金额大写：</w:t>
            </w:r>
            <w:r/>
          </w:p>
        </w:tc>
      </w:tr>
    </w:tbl>
    <w:p>
      <w:pPr>
        <w:ind w:firstLine="400"/>
        <w:jc w:val="both"/>
        <w:tabs>
          <w:tab w:val="center" w:pos="4201" w:leader="none"/>
          <w:tab w:val="right" w:pos="9298" w:leader="dot"/>
        </w:tabs>
        <w:rPr>
          <w:rFonts w:hint="default" w:ascii="宋体" w:hAnsi="宋体" w:eastAsia="Times New Roman" w:cs="宋体"/>
          <w:highlight w:val="none"/>
        </w:rPr>
      </w:pPr>
      <w:r>
        <w:rPr>
          <w:rFonts w:hint="default" w:ascii="宋体" w:hAnsi="宋体" w:eastAsia="Times New Roman" w:cs="宋体"/>
          <w:highlight w:val="none"/>
        </w:rPr>
      </w:r>
      <w:r/>
    </w:p>
    <w:p>
      <w:pPr>
        <w:spacing w:line="360" w:lineRule="auto"/>
        <w:rPr>
          <w:rFonts w:hint="default" w:ascii="宋体" w:hAnsi="宋体" w:eastAsia="宋体" w:cs="宋体"/>
          <w:b/>
          <w:sz w:val="21"/>
          <w:szCs w:val="24"/>
          <w:highlight w:val="none"/>
        </w:rPr>
      </w:pPr>
      <w:r>
        <w:rPr>
          <w:rFonts w:hint="eastAsia" w:ascii="宋体" w:hAnsi="宋体" w:eastAsia="宋体" w:cs="宋体"/>
          <w:b/>
          <w:sz w:val="21"/>
          <w:szCs w:val="24"/>
          <w:highlight w:val="none"/>
        </w:rPr>
        <w:t xml:space="preserve">二、下列文件为本合同不可分割部分：</w:t>
      </w:r>
      <w:r/>
    </w:p>
    <w:p>
      <w:pPr>
        <w:ind w:firstLine="420"/>
        <w:jc w:val="both"/>
        <w:spacing w:line="360" w:lineRule="auto"/>
        <w:widowControl w:val="off"/>
        <w:rPr>
          <w:rFonts w:hint="default" w:ascii="Times New Roman" w:hAnsi="Times New Roman" w:eastAsia="宋体" w:cs="宋体"/>
          <w:b w:val="0"/>
          <w:bCs/>
          <w:spacing w:val="0"/>
          <w:sz w:val="21"/>
          <w:szCs w:val="24"/>
          <w:highlight w:val="none"/>
        </w:rPr>
      </w:pPr>
      <w:r>
        <w:rPr>
          <w:rFonts w:hint="eastAsia" w:ascii="Times New Roman" w:hAnsi="Times New Roman" w:eastAsia="宋体" w:cs="宋体"/>
          <w:b w:val="0"/>
          <w:bCs/>
          <w:spacing w:val="0"/>
          <w:sz w:val="21"/>
          <w:szCs w:val="24"/>
          <w:highlight w:val="none"/>
        </w:rPr>
        <w:t xml:space="preserve">（一）中标通知书；</w:t>
      </w:r>
      <w:r/>
    </w:p>
    <w:p>
      <w:pPr>
        <w:ind w:firstLine="420"/>
        <w:jc w:val="both"/>
        <w:spacing w:line="360" w:lineRule="auto"/>
        <w:widowControl w:val="off"/>
        <w:rPr>
          <w:rFonts w:hint="default" w:ascii="Times New Roman" w:hAnsi="Times New Roman" w:eastAsia="宋体" w:cs="宋体"/>
          <w:b w:val="0"/>
          <w:bCs/>
          <w:spacing w:val="0"/>
          <w:sz w:val="21"/>
          <w:szCs w:val="24"/>
          <w:highlight w:val="none"/>
        </w:rPr>
      </w:pPr>
      <w:r>
        <w:rPr>
          <w:rFonts w:hint="eastAsia" w:ascii="Times New Roman" w:hAnsi="Times New Roman" w:eastAsia="宋体" w:cs="宋体"/>
          <w:b w:val="0"/>
          <w:bCs/>
          <w:spacing w:val="0"/>
          <w:sz w:val="21"/>
          <w:szCs w:val="24"/>
          <w:highlight w:val="none"/>
        </w:rPr>
        <w:t xml:space="preserve">（二）招标文件、技术要求及补充通知（如有）；</w:t>
      </w:r>
      <w:r/>
    </w:p>
    <w:p>
      <w:pPr>
        <w:ind w:firstLine="420"/>
        <w:jc w:val="both"/>
        <w:spacing w:line="360" w:lineRule="auto"/>
        <w:widowControl w:val="off"/>
        <w:rPr>
          <w:rFonts w:hint="default" w:ascii="Times New Roman" w:hAnsi="Times New Roman" w:eastAsia="宋体" w:cs="宋体"/>
          <w:b w:val="0"/>
          <w:bCs/>
          <w:spacing w:val="0"/>
          <w:sz w:val="21"/>
          <w:szCs w:val="24"/>
          <w:highlight w:val="none"/>
        </w:rPr>
      </w:pPr>
      <w:r>
        <w:rPr>
          <w:rFonts w:hint="eastAsia" w:ascii="Times New Roman" w:hAnsi="Times New Roman" w:eastAsia="宋体" w:cs="宋体"/>
          <w:b w:val="0"/>
          <w:bCs/>
          <w:spacing w:val="0"/>
          <w:sz w:val="21"/>
          <w:szCs w:val="24"/>
          <w:highlight w:val="none"/>
        </w:rPr>
        <w:t xml:space="preserve">（三）中标文件和其它承诺、书面澄清等；</w:t>
      </w:r>
      <w:r/>
    </w:p>
    <w:p>
      <w:pPr>
        <w:ind w:firstLine="420"/>
        <w:jc w:val="both"/>
        <w:spacing w:line="360" w:lineRule="auto"/>
        <w:widowControl w:val="off"/>
        <w:rPr>
          <w:rFonts w:hint="default" w:ascii="Times New Roman" w:hAnsi="Times New Roman" w:eastAsia="宋体" w:cs="宋体"/>
          <w:b w:val="0"/>
          <w:bCs/>
          <w:spacing w:val="0"/>
          <w:sz w:val="21"/>
          <w:szCs w:val="24"/>
          <w:highlight w:val="none"/>
        </w:rPr>
      </w:pPr>
      <w:r>
        <w:rPr>
          <w:rFonts w:hint="eastAsia" w:ascii="Times New Roman" w:hAnsi="Times New Roman" w:eastAsia="宋体" w:cs="宋体"/>
          <w:b w:val="0"/>
          <w:bCs/>
          <w:spacing w:val="0"/>
          <w:sz w:val="21"/>
          <w:szCs w:val="24"/>
          <w:highlight w:val="none"/>
        </w:rPr>
        <w:t xml:space="preserve">（四）技术文件；</w:t>
      </w:r>
      <w:r/>
    </w:p>
    <w:p>
      <w:pPr>
        <w:ind w:firstLine="420"/>
        <w:jc w:val="both"/>
        <w:spacing w:line="360" w:lineRule="auto"/>
        <w:widowControl w:val="off"/>
        <w:rPr>
          <w:rFonts w:hint="default" w:ascii="Times New Roman" w:hAnsi="Times New Roman" w:eastAsia="宋体" w:cs="宋体"/>
          <w:b w:val="0"/>
          <w:bCs/>
          <w:spacing w:val="0"/>
          <w:sz w:val="21"/>
          <w:szCs w:val="24"/>
          <w:highlight w:val="none"/>
        </w:rPr>
      </w:pPr>
      <w:r>
        <w:rPr>
          <w:rFonts w:hint="eastAsia" w:ascii="Times New Roman" w:hAnsi="Times New Roman" w:eastAsia="宋体" w:cs="宋体"/>
          <w:b w:val="0"/>
          <w:bCs/>
          <w:spacing w:val="0"/>
          <w:sz w:val="21"/>
          <w:szCs w:val="24"/>
          <w:highlight w:val="none"/>
        </w:rPr>
        <w:t xml:space="preserve">（五）其他约定文件等。</w:t>
      </w:r>
      <w:r/>
    </w:p>
    <w:p>
      <w:pPr>
        <w:jc w:val="both"/>
        <w:spacing w:line="360" w:lineRule="auto"/>
        <w:widowControl w:val="off"/>
        <w:rPr>
          <w:rFonts w:hint="default" w:ascii="Times New Roman" w:hAnsi="Times New Roman" w:eastAsia="宋体" w:cs="宋体"/>
          <w:b/>
          <w:bCs/>
          <w:spacing w:val="0"/>
          <w:sz w:val="21"/>
          <w:szCs w:val="24"/>
          <w:highlight w:val="none"/>
        </w:rPr>
      </w:pPr>
      <w:r>
        <w:rPr>
          <w:rFonts w:hint="eastAsia" w:ascii="Times New Roman" w:hAnsi="Times New Roman" w:eastAsia="宋体" w:cs="宋体"/>
          <w:b/>
          <w:bCs/>
          <w:spacing w:val="0"/>
          <w:sz w:val="21"/>
          <w:szCs w:val="24"/>
          <w:highlight w:val="none"/>
        </w:rPr>
        <w:t xml:space="preserve">三、合同价格与支付：  </w:t>
      </w:r>
      <w:r/>
    </w:p>
    <w:p>
      <w:pPr>
        <w:ind w:firstLine="420"/>
        <w:spacing w:line="360" w:lineRule="auto"/>
        <w:tabs>
          <w:tab w:val="left" w:pos="630" w:leader="none"/>
        </w:tabs>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（一）本合同价格为</w:t>
      </w:r>
      <w:r>
        <w:rPr>
          <w:rFonts w:hint="eastAsia" w:ascii="宋体" w:hAnsi="宋体" w:eastAsia="宋体" w:cs="宋体"/>
          <w:sz w:val="21"/>
          <w:szCs w:val="28"/>
          <w:highlight w:val="none"/>
        </w:rPr>
        <w:t xml:space="preserve">项目所在地</w:t>
      </w:r>
      <w:r>
        <w:rPr>
          <w:rFonts w:hint="eastAsia" w:ascii="宋体" w:hAnsi="宋体" w:eastAsia="宋体" w:cs="宋体"/>
          <w:sz w:val="21"/>
          <w:szCs w:val="24"/>
          <w:highlight w:val="none"/>
        </w:rPr>
        <w:t xml:space="preserve">含税价，本合同价格按人民币结算。</w:t>
      </w:r>
      <w:r/>
    </w:p>
    <w:p>
      <w:pPr>
        <w:ind w:firstLine="420"/>
        <w:jc w:val="left"/>
        <w:spacing w:line="360" w:lineRule="auto"/>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（二）本合同总价为：</w:t>
      </w:r>
      <w:r>
        <w:rPr>
          <w:rFonts w:hint="eastAsia" w:ascii="宋体" w:hAnsi="宋体" w:eastAsia="宋体" w:cs="宋体"/>
          <w:b/>
          <w:sz w:val="21"/>
          <w:szCs w:val="21"/>
          <w:highlight w:val="none"/>
          <w:u w:val="single"/>
        </w:rPr>
        <w:t xml:space="preserve">         （￥    ）</w:t>
      </w:r>
      <w:r>
        <w:rPr>
          <w:rFonts w:hint="eastAsia" w:ascii="宋体" w:hAnsi="宋体" w:eastAsia="宋体" w:cs="宋体"/>
          <w:sz w:val="21"/>
          <w:szCs w:val="24"/>
          <w:highlight w:val="none"/>
        </w:rPr>
        <w:t xml:space="preserve">，合同总价</w:t>
      </w:r>
      <w:r>
        <w:rPr>
          <w:rFonts w:hint="eastAsia" w:ascii="宋体" w:hAnsi="宋体" w:eastAsia="宋体"/>
          <w:sz w:val="21"/>
          <w:szCs w:val="21"/>
          <w:highlight w:val="none"/>
        </w:rPr>
        <w:t xml:space="preserve">包括所投产品（含附属配套设施设备、器材）及其备品、备件和专用工具费用、税费及包装、运至最终目的地的运输、车辆上牌前的临时保险、现场吊装、检测验收、安装调试、验收及相关费用、协助车辆上牌、技术支持与培训、售后服务与维保及相关劳务支出等工作所发生的全部费用以及投标人利润、税金和政策性文件规定及合同包含的所有风险、责任等各项应有费用。（车辆购置税和机动车保险费用不含在投标总报价中</w:t>
      </w:r>
      <w:r>
        <w:rPr>
          <w:rFonts w:hint="eastAsia" w:ascii="宋体" w:hAnsi="宋体" w:eastAsia="宋体" w:cs="宋体"/>
          <w:sz w:val="21"/>
          <w:szCs w:val="24"/>
          <w:highlight w:val="none"/>
        </w:rPr>
        <w:t xml:space="preserve">。</w:t>
      </w:r>
      <w:r>
        <w:rPr>
          <w:rFonts w:hint="eastAsia" w:ascii="宋体" w:hAnsi="宋体" w:eastAsia="宋体"/>
          <w:sz w:val="21"/>
          <w:szCs w:val="21"/>
          <w:highlight w:val="none"/>
        </w:rPr>
        <w:t xml:space="preserve">）</w:t>
      </w:r>
      <w:r/>
    </w:p>
    <w:p>
      <w:pPr>
        <w:ind w:firstLine="420"/>
        <w:spacing w:line="360" w:lineRule="auto"/>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（三）付款方式：</w:t>
      </w:r>
      <w:bookmarkStart w:id="60" w:name="_Hlk166669467"/>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1.付款步骤：</w:t>
      </w:r>
      <w:r/>
    </w:p>
    <w:p>
      <w:pPr>
        <w:ind w:firstLine="420"/>
        <w:spacing w:line="360" w:lineRule="auto"/>
        <w:widowControl/>
        <w:rPr>
          <w:rFonts w:hint="default" w:ascii="宋体" w:hAnsi="宋体" w:eastAsia="宋体"/>
          <w:sz w:val="21"/>
          <w:szCs w:val="21"/>
          <w:highlight w:val="none"/>
        </w:rPr>
      </w:pPr>
      <w:r>
        <w:rPr>
          <w:rFonts w:hint="eastAsia" w:ascii="宋体" w:hAnsi="宋体" w:eastAsia="宋体"/>
          <w:sz w:val="21"/>
          <w:szCs w:val="21"/>
          <w:highlight w:val="none"/>
        </w:rPr>
        <w:t xml:space="preserve">在政府采购合同签订生效后，待全部货物到达甲方指定地点，经验收合格后由甲方向乙方支付</w:t>
      </w:r>
      <w:r>
        <w:rPr>
          <w:rFonts w:hint="eastAsia" w:ascii="宋体" w:hAnsi="宋体" w:eastAsia="宋体"/>
          <w:sz w:val="21"/>
          <w:szCs w:val="21"/>
          <w:highlight w:val="none"/>
          <w:lang w:val="en-US" w:eastAsia="zh-CN"/>
        </w:rPr>
        <w:t xml:space="preserve">至</w:t>
      </w:r>
      <w:r>
        <w:rPr>
          <w:rFonts w:hint="eastAsia" w:ascii="宋体" w:hAnsi="宋体" w:eastAsia="宋体"/>
          <w:sz w:val="21"/>
          <w:szCs w:val="21"/>
          <w:highlight w:val="none"/>
        </w:rPr>
        <w:t xml:space="preserve">合同总金额的</w:t>
      </w:r>
      <w:r>
        <w:rPr>
          <w:rFonts w:hint="eastAsia" w:ascii="宋体" w:hAnsi="宋体" w:eastAsia="宋体"/>
          <w:sz w:val="21"/>
          <w:szCs w:val="21"/>
          <w:highlight w:val="none"/>
          <w:lang w:val="en-US" w:eastAsia="zh-CN"/>
        </w:rPr>
        <w:t xml:space="preserve">7</w:t>
      </w:r>
      <w:r>
        <w:rPr>
          <w:rFonts w:hint="eastAsia" w:ascii="宋体" w:hAnsi="宋体" w:eastAsia="宋体"/>
          <w:sz w:val="21"/>
          <w:szCs w:val="21"/>
          <w:highlight w:val="none"/>
        </w:rPr>
        <w:t xml:space="preserve">0%，余款在质保期满后</w:t>
      </w:r>
      <w:r>
        <w:rPr>
          <w:rFonts w:hint="eastAsia" w:ascii="宋体" w:hAnsi="宋体" w:eastAsia="宋体"/>
          <w:sz w:val="21"/>
          <w:szCs w:val="21"/>
          <w:highlight w:val="none"/>
          <w:lang w:val="en-US" w:eastAsia="zh-CN"/>
        </w:rPr>
        <w:t xml:space="preserve">一年内</w:t>
      </w:r>
      <w:r>
        <w:rPr>
          <w:rFonts w:hint="eastAsia" w:ascii="宋体" w:hAnsi="宋体" w:eastAsia="宋体"/>
          <w:sz w:val="21"/>
          <w:szCs w:val="21"/>
          <w:highlight w:val="none"/>
        </w:rPr>
        <w:t xml:space="preserve">由甲方向乙方一次性付清。</w:t>
      </w:r>
      <w:r/>
    </w:p>
    <w:p>
      <w:pPr>
        <w:ind w:firstLine="420"/>
        <w:spacing w:line="360" w:lineRule="auto"/>
        <w:widowControl/>
        <w:rPr>
          <w:rFonts w:hint="default" w:ascii="宋体" w:hAnsi="宋体" w:eastAsia="宋体" w:cs="宋体"/>
          <w:bCs/>
          <w:sz w:val="21"/>
          <w:szCs w:val="24"/>
          <w:highlight w:val="none"/>
        </w:rPr>
      </w:pPr>
      <w:r>
        <w:rPr>
          <w:rFonts w:hint="eastAsia" w:ascii="宋体" w:hAnsi="宋体" w:eastAsia="宋体" w:cs="宋体"/>
          <w:bCs/>
          <w:sz w:val="21"/>
          <w:szCs w:val="24"/>
          <w:highlight w:val="none"/>
        </w:rPr>
        <w:t xml:space="preserve">A、甲方签收的送货回单。 </w:t>
      </w:r>
      <w:r/>
    </w:p>
    <w:p>
      <w:pPr>
        <w:ind w:firstLine="420"/>
        <w:spacing w:line="360" w:lineRule="auto"/>
        <w:widowControl/>
        <w:rPr>
          <w:rFonts w:hint="default" w:ascii="宋体" w:hAnsi="宋体" w:eastAsia="宋体" w:cs="宋体"/>
          <w:bCs/>
          <w:sz w:val="21"/>
          <w:szCs w:val="24"/>
          <w:highlight w:val="none"/>
        </w:rPr>
      </w:pPr>
      <w:r>
        <w:rPr>
          <w:rFonts w:hint="eastAsia" w:ascii="宋体" w:hAnsi="宋体" w:eastAsia="宋体" w:cs="宋体"/>
          <w:bCs/>
          <w:sz w:val="21"/>
          <w:szCs w:val="24"/>
          <w:highlight w:val="none"/>
        </w:rPr>
        <w:t xml:space="preserve">B、正式的发票。</w:t>
      </w:r>
      <w:r/>
    </w:p>
    <w:p>
      <w:pPr>
        <w:ind w:firstLine="420"/>
        <w:spacing w:line="360" w:lineRule="auto"/>
        <w:rPr>
          <w:rFonts w:hint="default" w:ascii="宋体" w:hAnsi="宋体" w:eastAsia="宋体"/>
          <w:sz w:val="21"/>
          <w:szCs w:val="24"/>
          <w:highlight w:val="none"/>
        </w:rPr>
      </w:pPr>
      <w:r>
        <w:rPr>
          <w:rFonts w:hint="eastAsia" w:ascii="宋体" w:hAnsi="宋体" w:eastAsia="宋体" w:cs="宋体"/>
          <w:bCs/>
          <w:sz w:val="21"/>
          <w:szCs w:val="24"/>
          <w:highlight w:val="none"/>
        </w:rPr>
        <w:t xml:space="preserve">C、由甲乙双方及招标代理机构签章的《苏州市政府采购合同履行验收报告》</w:t>
      </w:r>
      <w:bookmarkEnd w:id="60"/>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2.付款前，乙方应开具正规合格的增值税专用发票原件提交甲方，甲方将支付相应款项。</w:t>
      </w:r>
      <w:r/>
    </w:p>
    <w:p>
      <w:pPr>
        <w:ind w:right="-161" w:firstLine="420"/>
        <w:spacing w:line="360" w:lineRule="auto"/>
        <w:rPr>
          <w:rFonts w:hint="default" w:ascii="宋体" w:hAnsi="宋体" w:eastAsia="宋体" w:cs="宋体"/>
          <w:sz w:val="21"/>
          <w:szCs w:val="24"/>
          <w:highlight w:val="none"/>
        </w:rPr>
      </w:pPr>
      <w:r>
        <w:rPr>
          <w:rFonts w:hint="eastAsia" w:ascii="宋体" w:hAnsi="宋体" w:eastAsia="宋体"/>
          <w:sz w:val="21"/>
          <w:szCs w:val="21"/>
          <w:highlight w:val="none"/>
        </w:rPr>
        <w:t xml:space="preserve">3.</w:t>
      </w:r>
      <w:r>
        <w:rPr>
          <w:rFonts w:hint="eastAsia" w:ascii="宋体" w:hAnsi="宋体" w:eastAsia="宋体" w:cs="宋体"/>
          <w:sz w:val="21"/>
          <w:szCs w:val="24"/>
          <w:highlight w:val="none"/>
        </w:rPr>
        <w:t xml:space="preserve">付款方式：银行转账、银行汇票或转帐支票。</w:t>
      </w:r>
      <w:r/>
    </w:p>
    <w:p>
      <w:pPr>
        <w:ind w:right="-161" w:firstLine="420"/>
        <w:spacing w:line="360" w:lineRule="auto"/>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4.乙方账户信息如下：</w:t>
      </w:r>
      <w:r/>
    </w:p>
    <w:p>
      <w:pPr>
        <w:ind w:right="-161" w:firstLine="630"/>
        <w:spacing w:line="360" w:lineRule="auto"/>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开户名称：</w:t>
      </w:r>
      <w:r/>
    </w:p>
    <w:p>
      <w:pPr>
        <w:ind w:right="-161" w:firstLine="630"/>
        <w:spacing w:line="360" w:lineRule="auto"/>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开户银行：</w:t>
      </w:r>
      <w:r/>
    </w:p>
    <w:p>
      <w:pPr>
        <w:ind w:firstLine="630"/>
        <w:spacing w:line="360" w:lineRule="auto"/>
        <w:widowControl/>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银行账号：</w:t>
      </w:r>
      <w:r/>
    </w:p>
    <w:p>
      <w:pPr>
        <w:jc w:val="left"/>
        <w:spacing w:line="360" w:lineRule="auto"/>
        <w:rPr>
          <w:rFonts w:hint="default" w:ascii="宋体" w:hAnsi="宋体" w:eastAsia="宋体" w:cs="宋体"/>
          <w:b/>
          <w:sz w:val="21"/>
          <w:szCs w:val="21"/>
          <w:highlight w:val="none"/>
        </w:rPr>
      </w:pPr>
      <w:r>
        <w:rPr>
          <w:rFonts w:hint="eastAsia" w:ascii="宋体" w:hAnsi="宋体" w:eastAsia="宋体" w:cs="宋体"/>
          <w:b/>
          <w:sz w:val="21"/>
          <w:szCs w:val="21"/>
          <w:highlight w:val="none"/>
        </w:rPr>
        <w:t xml:space="preserve">四、交付时间、地点、方式： </w:t>
      </w:r>
      <w:r/>
    </w:p>
    <w:p>
      <w:pPr>
        <w:ind w:left="99" w:firstLine="420"/>
        <w:spacing w:line="360" w:lineRule="auto"/>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（一）交付方式：所有合同货物均由乙方装运至甲方指定地点，所有货物的包装费用、运输费用及运输安全均由乙方负责。货物装运后由乙方办理保险，费用已含在合同总价中。</w:t>
      </w:r>
      <w:r/>
    </w:p>
    <w:p>
      <w:pPr>
        <w:ind w:left="99" w:firstLine="420"/>
        <w:spacing w:line="360" w:lineRule="auto"/>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（二）交货期限：按招标文件要求。</w:t>
      </w:r>
      <w:r/>
    </w:p>
    <w:p>
      <w:pPr>
        <w:ind w:left="99" w:firstLine="420"/>
        <w:spacing w:line="360" w:lineRule="auto"/>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（三）交货地点：按招标文件要求。</w:t>
      </w:r>
      <w:r/>
    </w:p>
    <w:p>
      <w:pPr>
        <w:ind w:left="99" w:firstLine="420"/>
        <w:spacing w:line="360" w:lineRule="auto"/>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left="99" w:firstLine="420"/>
        <w:spacing w:line="360" w:lineRule="auto"/>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（五）所有货物的外观、包装、运输应按国家规定或部颁标准执行。任何由于乙方包装及保护措施不足或不当以及其它原因造成的损坏或丢失，均由乙方负责修复或补缺。</w:t>
      </w:r>
      <w:r/>
    </w:p>
    <w:p>
      <w:pPr>
        <w:ind w:left="99" w:firstLine="420"/>
        <w:spacing w:line="360" w:lineRule="auto"/>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（六）货物交货时，包装须完整无破损，乙方还必须提供以下材料：</w:t>
      </w:r>
      <w:r/>
    </w:p>
    <w:p>
      <w:pPr>
        <w:ind w:firstLine="420"/>
        <w:spacing w:line="360" w:lineRule="auto"/>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A、货物装箱清单                    B、质量检验合格文件</w:t>
      </w:r>
      <w:r/>
    </w:p>
    <w:p>
      <w:pPr>
        <w:ind w:firstLine="420"/>
        <w:spacing w:line="360" w:lineRule="auto"/>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C、中英文技术资料                  D、使用维修保养中文说明书</w:t>
      </w:r>
      <w:r/>
    </w:p>
    <w:p>
      <w:pPr>
        <w:ind w:firstLine="420"/>
        <w:spacing w:line="360" w:lineRule="auto"/>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E、其它必备材料和必备工具等        F、保修单等其它必须材料</w:t>
      </w:r>
      <w:r/>
    </w:p>
    <w:p>
      <w:pPr>
        <w:ind w:left="99" w:firstLine="420"/>
        <w:spacing w:line="360" w:lineRule="auto"/>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（七）如因甲方原因货物不能在规定时间内进场，乙方承诺免费提供货物寄存场所一个月，货物寄存于乙方仓库。如超过一个月时间，所产生的仓储费用双方将协商另计。</w:t>
      </w:r>
      <w:r/>
    </w:p>
    <w:p>
      <w:pPr>
        <w:jc w:val="left"/>
        <w:spacing w:line="360" w:lineRule="auto"/>
        <w:rPr>
          <w:rFonts w:hint="default" w:ascii="宋体" w:hAnsi="宋体" w:eastAsia="宋体" w:cs="宋体"/>
          <w:b/>
          <w:sz w:val="21"/>
          <w:szCs w:val="21"/>
          <w:highlight w:val="none"/>
        </w:rPr>
      </w:pPr>
      <w:r>
        <w:rPr>
          <w:rFonts w:hint="eastAsia" w:ascii="宋体" w:hAnsi="宋体" w:eastAsia="宋体" w:cs="宋体"/>
          <w:b/>
          <w:sz w:val="21"/>
          <w:szCs w:val="21"/>
          <w:highlight w:val="none"/>
        </w:rPr>
        <w:t xml:space="preserve">五、验收要求：</w:t>
      </w:r>
      <w:r/>
    </w:p>
    <w:p>
      <w:pPr>
        <w:ind w:firstLine="420"/>
        <w:spacing w:line="360" w:lineRule="auto"/>
        <w:rPr>
          <w:rFonts w:hint="default" w:ascii="宋体" w:hAnsi="宋体" w:eastAsia="宋体" w:cs="宋体"/>
          <w:bCs/>
          <w:sz w:val="21"/>
          <w:szCs w:val="24"/>
          <w:highlight w:val="none"/>
        </w:rPr>
      </w:pPr>
      <w:r>
        <w:rPr>
          <w:rFonts w:hint="eastAsia" w:ascii="宋体" w:hAnsi="宋体" w:eastAsia="宋体" w:cs="宋体"/>
          <w:bCs/>
          <w:sz w:val="21"/>
          <w:szCs w:val="24"/>
          <w:highlight w:val="none"/>
        </w:rPr>
        <w:t xml:space="preserve">（一）验收标准：根据政府采购合同要求、招标文件要求、投标文件、承诺及有关行业规定。</w:t>
      </w:r>
      <w:r/>
    </w:p>
    <w:p>
      <w:pPr>
        <w:ind w:firstLine="420"/>
        <w:spacing w:line="360" w:lineRule="auto"/>
        <w:rPr>
          <w:rFonts w:hint="default" w:ascii="宋体" w:hAnsi="宋体" w:eastAsia="宋体" w:cs="宋体"/>
          <w:bCs/>
          <w:sz w:val="21"/>
          <w:szCs w:val="24"/>
          <w:highlight w:val="none"/>
        </w:rPr>
      </w:pPr>
      <w:r>
        <w:rPr>
          <w:rFonts w:hint="eastAsia" w:ascii="宋体" w:hAnsi="宋体" w:eastAsia="宋体" w:cs="宋体"/>
          <w:bCs/>
          <w:sz w:val="21"/>
          <w:szCs w:val="24"/>
          <w:highlight w:val="none"/>
        </w:rPr>
        <w:t xml:space="preserve">（二）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firstLine="420"/>
        <w:spacing w:line="360" w:lineRule="auto"/>
        <w:rPr>
          <w:rFonts w:hint="default" w:ascii="宋体" w:hAnsi="宋体" w:eastAsia="宋体" w:cs="宋体"/>
          <w:bCs/>
          <w:sz w:val="21"/>
          <w:szCs w:val="24"/>
          <w:highlight w:val="none"/>
        </w:rPr>
      </w:pPr>
      <w:r>
        <w:rPr>
          <w:rFonts w:hint="eastAsia" w:ascii="宋体" w:hAnsi="宋体" w:eastAsia="宋体" w:cs="宋体"/>
          <w:bCs/>
          <w:sz w:val="21"/>
          <w:szCs w:val="24"/>
          <w:highlight w:val="none"/>
        </w:rPr>
        <w:t xml:space="preserve">（三）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jc w:val="left"/>
        <w:spacing w:line="360" w:lineRule="auto"/>
        <w:rPr>
          <w:rFonts w:hint="default" w:ascii="宋体" w:hAnsi="宋体" w:eastAsia="宋体" w:cs="宋体"/>
          <w:bCs/>
          <w:sz w:val="21"/>
          <w:szCs w:val="24"/>
          <w:highlight w:val="none"/>
        </w:rPr>
      </w:pPr>
      <w:r>
        <w:rPr>
          <w:rFonts w:hint="eastAsia" w:ascii="宋体" w:hAnsi="宋体" w:eastAsia="宋体" w:cs="宋体"/>
          <w:bCs/>
          <w:sz w:val="21"/>
          <w:szCs w:val="24"/>
          <w:highlight w:val="none"/>
        </w:rPr>
        <w:t xml:space="preserve">（四）</w:t>
      </w:r>
      <w:r>
        <w:rPr>
          <w:rFonts w:hint="eastAsia" w:ascii="宋体" w:hAnsi="宋体" w:eastAsia="宋体" w:cs="宋体"/>
          <w:sz w:val="21"/>
          <w:szCs w:val="21"/>
          <w:highlight w:val="none"/>
        </w:rPr>
        <w:t xml:space="preserve">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spacing w:line="360" w:lineRule="auto"/>
        <w:rPr>
          <w:rFonts w:hint="default" w:ascii="宋体" w:hAnsi="宋体" w:eastAsia="宋体" w:cs="宋体"/>
          <w:b/>
          <w:sz w:val="21"/>
          <w:szCs w:val="24"/>
          <w:highlight w:val="none"/>
        </w:rPr>
      </w:pPr>
      <w:r>
        <w:rPr>
          <w:rFonts w:hint="eastAsia" w:ascii="宋体" w:hAnsi="宋体" w:eastAsia="宋体" w:cs="宋体"/>
          <w:b/>
          <w:sz w:val="21"/>
          <w:szCs w:val="24"/>
          <w:highlight w:val="none"/>
        </w:rPr>
        <w:t xml:space="preserve">六、售后服务及其他要求：</w:t>
      </w:r>
      <w:r/>
    </w:p>
    <w:p>
      <w:pPr>
        <w:ind w:firstLine="420"/>
        <w:spacing w:line="360" w:lineRule="auto"/>
        <w:tabs>
          <w:tab w:val="left" w:pos="630" w:leader="none"/>
        </w:tabs>
        <w:rPr>
          <w:rFonts w:hint="default" w:ascii="宋体" w:hAnsi="宋体" w:eastAsia="宋体" w:cs="宋体"/>
          <w:sz w:val="21"/>
          <w:szCs w:val="24"/>
          <w:highlight w:val="none"/>
        </w:rPr>
      </w:pPr>
      <w:r>
        <w:rPr>
          <w:rFonts w:hint="eastAsia" w:ascii="宋体" w:hAnsi="宋体" w:eastAsia="宋体" w:cs="宋体"/>
          <w:sz w:val="21"/>
          <w:szCs w:val="21"/>
          <w:highlight w:val="none"/>
        </w:rPr>
        <w:t xml:space="preserve">（一）具体按招标文件售后服务条款。</w:t>
      </w:r>
      <w:r/>
    </w:p>
    <w:p>
      <w:pPr>
        <w:ind w:firstLine="420"/>
        <w:spacing w:line="360" w:lineRule="auto"/>
        <w:tabs>
          <w:tab w:val="left" w:pos="900" w:leader="none"/>
        </w:tabs>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（二）其他要求按乙方投标文件承诺的条款执行。</w:t>
      </w:r>
      <w:r/>
    </w:p>
    <w:p>
      <w:pPr>
        <w:jc w:val="left"/>
        <w:spacing w:line="360" w:lineRule="auto"/>
        <w:rPr>
          <w:rFonts w:hint="default" w:ascii="宋体" w:hAnsi="宋体" w:eastAsia="宋体" w:cs="宋体"/>
          <w:b/>
          <w:sz w:val="21"/>
          <w:szCs w:val="24"/>
          <w:highlight w:val="none"/>
        </w:rPr>
      </w:pPr>
      <w:r>
        <w:rPr>
          <w:rFonts w:hint="eastAsia" w:ascii="宋体" w:hAnsi="宋体" w:eastAsia="宋体" w:cs="宋体"/>
          <w:b/>
          <w:sz w:val="21"/>
          <w:szCs w:val="24"/>
          <w:highlight w:val="none"/>
        </w:rPr>
        <w:t xml:space="preserve">七、税费：</w:t>
      </w:r>
      <w:r/>
    </w:p>
    <w:p>
      <w:pPr>
        <w:ind w:firstLine="420"/>
        <w:spacing w:line="360" w:lineRule="auto"/>
        <w:tabs>
          <w:tab w:val="left" w:pos="900" w:leader="none"/>
        </w:tabs>
        <w:rPr>
          <w:rFonts w:hint="default" w:ascii="宋体" w:hAnsi="宋体" w:eastAsia="宋体" w:cs="宋体"/>
          <w:sz w:val="21"/>
          <w:szCs w:val="24"/>
          <w:highlight w:val="none"/>
        </w:rPr>
      </w:pPr>
      <w:r>
        <w:rPr>
          <w:rFonts w:hint="eastAsia" w:ascii="宋体" w:hAnsi="宋体" w:eastAsia="宋体" w:cs="宋体"/>
          <w:sz w:val="21"/>
          <w:szCs w:val="21"/>
          <w:highlight w:val="none"/>
        </w:rPr>
        <w:t xml:space="preserve">（一）</w:t>
      </w:r>
      <w:r>
        <w:rPr>
          <w:rFonts w:hint="eastAsia" w:ascii="宋体" w:hAnsi="宋体" w:eastAsia="宋体" w:cs="宋体"/>
          <w:sz w:val="21"/>
          <w:szCs w:val="24"/>
          <w:highlight w:val="none"/>
        </w:rPr>
        <w:t xml:space="preserve">根据国家有关税务法律、法规和规定，乙方应该交纳的与本合同有关的所有税费均由乙方承担。</w:t>
      </w:r>
      <w:r/>
    </w:p>
    <w:p>
      <w:pPr>
        <w:ind w:firstLine="420"/>
        <w:spacing w:line="360" w:lineRule="auto"/>
        <w:tabs>
          <w:tab w:val="left" w:pos="900" w:leader="none"/>
        </w:tabs>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（二）本合同价格为含税价。乙方提供的所有货物、技术资料、技术服务、进口设备/部件等所有税费，已全部包含在合同价格内，由乙方承担。</w:t>
      </w:r>
      <w:r/>
    </w:p>
    <w:p>
      <w:pPr>
        <w:spacing w:line="360" w:lineRule="auto"/>
        <w:rPr>
          <w:rFonts w:hint="default" w:ascii="宋体" w:hAnsi="宋体" w:eastAsia="宋体" w:cs="宋体"/>
          <w:b/>
          <w:sz w:val="21"/>
          <w:szCs w:val="24"/>
          <w:highlight w:val="none"/>
        </w:rPr>
      </w:pPr>
      <w:r>
        <w:rPr>
          <w:rFonts w:hint="eastAsia" w:ascii="宋体" w:hAnsi="宋体" w:eastAsia="宋体" w:cs="宋体"/>
          <w:b/>
          <w:sz w:val="21"/>
          <w:szCs w:val="24"/>
          <w:highlight w:val="none"/>
        </w:rPr>
        <w:t xml:space="preserve">八、违约责任：</w:t>
      </w:r>
      <w:r/>
    </w:p>
    <w:p>
      <w:pPr>
        <w:ind w:firstLine="420"/>
        <w:jc w:val="both"/>
        <w:spacing w:line="360" w:lineRule="auto"/>
        <w:widowControl w:val="off"/>
        <w:rPr>
          <w:rFonts w:hint="default" w:ascii="宋体" w:hAnsi="宋体" w:eastAsia="宋体" w:cs="宋体"/>
          <w:sz w:val="21"/>
          <w:szCs w:val="20"/>
          <w:highlight w:val="none"/>
        </w:rPr>
      </w:pPr>
      <w:r>
        <w:rPr>
          <w:rFonts w:hint="eastAsia" w:ascii="宋体" w:hAnsi="宋体" w:eastAsia="宋体" w:cs="宋体"/>
          <w:sz w:val="21"/>
          <w:szCs w:val="20"/>
          <w:highlight w:val="none"/>
        </w:rPr>
        <w:t xml:space="preserve">合同一方不履行合同义务或者履行合同义务不符合约定的，应当承担继续履行、采取补救措施或者赔偿损失等违约责任。</w:t>
      </w:r>
      <w:r/>
    </w:p>
    <w:p>
      <w:pPr>
        <w:ind w:firstLine="420"/>
        <w:jc w:val="left"/>
        <w:spacing w:line="360" w:lineRule="auto"/>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（一）甲方违约责任</w:t>
      </w:r>
      <w:r/>
    </w:p>
    <w:p>
      <w:pPr>
        <w:ind w:firstLine="420"/>
        <w:jc w:val="both"/>
        <w:spacing w:line="360" w:lineRule="auto"/>
        <w:widowControl w:val="off"/>
        <w:rPr>
          <w:rFonts w:hint="default" w:ascii="宋体" w:hAnsi="宋体" w:eastAsia="宋体" w:cs="宋体"/>
          <w:sz w:val="21"/>
          <w:szCs w:val="20"/>
          <w:highlight w:val="none"/>
        </w:rPr>
      </w:pPr>
      <w:r>
        <w:rPr>
          <w:rFonts w:hint="eastAsia" w:ascii="宋体" w:hAnsi="宋体" w:eastAsia="宋体" w:cs="宋体"/>
          <w:sz w:val="21"/>
          <w:szCs w:val="20"/>
          <w:highlight w:val="none"/>
        </w:rPr>
        <w:t xml:space="preserve">1、 在合同生效后，甲方要求退货的（产品质量不合格或乙方无法正常履约除外），应向乙方偿付合同总价款的5%，作为违约金，违约金不足以补偿损失的，乙方有权要求甲方补足。</w:t>
      </w:r>
      <w:r/>
    </w:p>
    <w:p>
      <w:pPr>
        <w:ind w:firstLine="420"/>
        <w:jc w:val="left"/>
        <w:spacing w:line="360" w:lineRule="auto"/>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（二）乙方违约责任</w:t>
      </w:r>
      <w:r/>
    </w:p>
    <w:p>
      <w:pPr>
        <w:ind w:firstLine="420"/>
        <w:jc w:val="both"/>
        <w:spacing w:line="360" w:lineRule="auto"/>
        <w:widowControl w:val="off"/>
        <w:rPr>
          <w:rFonts w:hint="default" w:ascii="宋体" w:hAnsi="宋体" w:eastAsia="宋体" w:cs="宋体"/>
          <w:sz w:val="21"/>
          <w:szCs w:val="20"/>
          <w:highlight w:val="none"/>
        </w:rPr>
      </w:pPr>
      <w:r>
        <w:rPr>
          <w:rFonts w:hint="eastAsia" w:ascii="宋体" w:hAnsi="宋体" w:eastAsia="宋体" w:cs="宋体"/>
          <w:sz w:val="21"/>
          <w:szCs w:val="20"/>
          <w:highlight w:val="none"/>
        </w:rPr>
        <w:t xml:space="preserve">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jc w:val="both"/>
        <w:spacing w:line="360" w:lineRule="auto"/>
        <w:widowControl w:val="off"/>
        <w:rPr>
          <w:rFonts w:hint="default" w:ascii="宋体" w:hAnsi="宋体" w:eastAsia="宋体" w:cs="宋体"/>
          <w:sz w:val="21"/>
          <w:szCs w:val="20"/>
          <w:highlight w:val="none"/>
        </w:rPr>
      </w:pPr>
      <w:r>
        <w:rPr>
          <w:rFonts w:hint="eastAsia" w:ascii="宋体" w:hAnsi="宋体" w:eastAsia="宋体" w:cs="宋体"/>
          <w:sz w:val="21"/>
          <w:szCs w:val="20"/>
          <w:highlight w:val="none"/>
        </w:rPr>
        <w:t xml:space="preserve">2、乙方逾期交货的，应在发货前与甲方和政府采购管理部门协商，甲方仍需求的，乙方应立即发货并应按照逾期交货部分货款的每十五天千分之四支付逾期交货违约金，同时承担甲方因此遭致的损失费用。</w:t>
      </w:r>
      <w:r/>
    </w:p>
    <w:p>
      <w:pPr>
        <w:ind w:firstLine="420"/>
        <w:jc w:val="left"/>
        <w:spacing w:line="360" w:lineRule="auto"/>
        <w:rPr>
          <w:rFonts w:hint="default" w:ascii="宋体" w:hAnsi="宋体" w:eastAsia="宋体" w:cs="宋体"/>
          <w:b/>
          <w:sz w:val="21"/>
          <w:szCs w:val="24"/>
          <w:highlight w:val="none"/>
        </w:rPr>
      </w:pPr>
      <w:r>
        <w:rPr>
          <w:rFonts w:hint="eastAsia" w:ascii="宋体" w:hAnsi="宋体" w:eastAsia="宋体" w:cs="宋体"/>
          <w:sz w:val="21"/>
          <w:szCs w:val="24"/>
          <w:highlight w:val="none"/>
        </w:rPr>
        <w:t xml:space="preserve">（三）不可抗力</w:t>
      </w:r>
      <w:r/>
    </w:p>
    <w:p>
      <w:pPr>
        <w:ind w:firstLine="420"/>
        <w:jc w:val="both"/>
        <w:spacing w:line="360" w:lineRule="auto"/>
        <w:widowControl w:val="off"/>
        <w:rPr>
          <w:rFonts w:hint="default" w:ascii="宋体" w:hAnsi="宋体" w:eastAsia="宋体" w:cs="宋体"/>
          <w:sz w:val="21"/>
          <w:szCs w:val="20"/>
          <w:highlight w:val="none"/>
        </w:rPr>
      </w:pPr>
      <w:r>
        <w:rPr>
          <w:rFonts w:hint="eastAsia" w:ascii="宋体" w:hAnsi="宋体" w:eastAsia="宋体" w:cs="宋体"/>
          <w:sz w:val="21"/>
          <w:szCs w:val="20"/>
          <w:highlight w:val="none"/>
        </w:rPr>
        <w:t xml:space="preserve">1、因不可抗力不能履行合同的，根据不可抗力的影响，部分或者全部免除责任。但合同一方迟延履行后发生不可抗力的，不能免除责任。</w:t>
      </w:r>
      <w:r/>
    </w:p>
    <w:p>
      <w:pPr>
        <w:ind w:firstLine="420"/>
        <w:jc w:val="left"/>
        <w:spacing w:line="360" w:lineRule="auto"/>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2、合同一方因不可抗力不能履行合同的，应当及时通知对方，以减轻可能给对方造成的损失，并应当在合理期限内提供证明。</w:t>
      </w:r>
      <w:r/>
    </w:p>
    <w:p>
      <w:pPr>
        <w:ind w:firstLine="420"/>
        <w:jc w:val="left"/>
        <w:spacing w:line="360" w:lineRule="auto"/>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（四）合同的解除和转让</w:t>
      </w:r>
      <w:r/>
    </w:p>
    <w:p>
      <w:pPr>
        <w:ind w:firstLine="420"/>
        <w:jc w:val="left"/>
        <w:spacing w:line="360" w:lineRule="auto"/>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1、甲方和乙方协商一致，可以解除合同。</w:t>
      </w:r>
      <w:r/>
    </w:p>
    <w:p>
      <w:pPr>
        <w:ind w:firstLine="420"/>
        <w:jc w:val="left"/>
        <w:spacing w:line="360" w:lineRule="auto"/>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2、有下列情形之一，合同一方可以解除合同：</w:t>
      </w:r>
      <w:r/>
    </w:p>
    <w:p>
      <w:pPr>
        <w:ind w:firstLine="420"/>
        <w:jc w:val="left"/>
        <w:spacing w:line="360" w:lineRule="auto"/>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3、因不可抗力致使不能实现合同目的，未受不可抗力影响的一方有权解除合同；</w:t>
      </w:r>
      <w:r/>
    </w:p>
    <w:p>
      <w:pPr>
        <w:ind w:firstLine="420"/>
        <w:jc w:val="left"/>
        <w:spacing w:line="360" w:lineRule="auto"/>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4、因合同一方违约导致合同不能履行，另一方有权解除合同；</w:t>
      </w:r>
      <w:r/>
    </w:p>
    <w:p>
      <w:pPr>
        <w:ind w:firstLine="420"/>
        <w:jc w:val="left"/>
        <w:spacing w:line="360" w:lineRule="auto"/>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5、有权解除合同的一方，应当在违约事实或不可抗力发生之后三十天内书面通知对方以主张解除合同，合同在书面通知到达对方时解除。</w:t>
      </w:r>
      <w:r/>
    </w:p>
    <w:p>
      <w:pPr>
        <w:spacing w:line="360" w:lineRule="auto"/>
        <w:rPr>
          <w:rFonts w:hint="default" w:ascii="宋体" w:hAnsi="宋体" w:eastAsia="宋体" w:cs="宋体"/>
          <w:b/>
          <w:sz w:val="21"/>
          <w:szCs w:val="24"/>
          <w:highlight w:val="none"/>
        </w:rPr>
      </w:pPr>
      <w:r>
        <w:rPr>
          <w:rFonts w:hint="eastAsia" w:ascii="宋体" w:hAnsi="宋体" w:eastAsia="宋体" w:cs="宋体"/>
          <w:b/>
          <w:sz w:val="21"/>
          <w:szCs w:val="24"/>
          <w:highlight w:val="none"/>
        </w:rPr>
        <w:t xml:space="preserve">九、索赔：</w:t>
      </w:r>
      <w:r/>
    </w:p>
    <w:p>
      <w:pPr>
        <w:ind w:firstLine="420"/>
        <w:spacing w:line="360" w:lineRule="auto"/>
        <w:tabs>
          <w:tab w:val="left" w:pos="900" w:leader="none"/>
        </w:tabs>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（一）甲方有权根据产品质量检验机构或其它有权部门出具的检验证书向乙方提出索赔。</w:t>
      </w:r>
      <w:r/>
    </w:p>
    <w:p>
      <w:pPr>
        <w:ind w:firstLine="420"/>
        <w:spacing w:line="360" w:lineRule="auto"/>
        <w:tabs>
          <w:tab w:val="left" w:pos="900" w:leader="none"/>
        </w:tabs>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二）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p>
    <w:p>
      <w:pPr>
        <w:ind w:firstLine="420"/>
        <w:spacing w:line="360" w:lineRule="auto"/>
        <w:tabs>
          <w:tab w:val="left" w:pos="900" w:leader="none"/>
        </w:tabs>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（三）在本合同执行过程中，如由于乙方原因造成甲方或第三人人身伤害，或因乙方的故意行为或重大过失致使甲方或第三人财产损失的，乙方应依法承担赔偿责任。</w:t>
      </w:r>
      <w:r/>
    </w:p>
    <w:p>
      <w:pPr>
        <w:spacing w:line="360" w:lineRule="auto"/>
        <w:rPr>
          <w:rFonts w:hint="default" w:ascii="宋体" w:hAnsi="宋体" w:eastAsia="宋体" w:cs="宋体"/>
          <w:bCs/>
          <w:sz w:val="21"/>
          <w:szCs w:val="24"/>
          <w:highlight w:val="none"/>
        </w:rPr>
      </w:pPr>
      <w:r>
        <w:rPr>
          <w:rFonts w:hint="eastAsia" w:ascii="宋体" w:hAnsi="宋体" w:eastAsia="宋体" w:cs="宋体"/>
          <w:b/>
          <w:bCs/>
          <w:sz w:val="21"/>
          <w:szCs w:val="28"/>
          <w:highlight w:val="none"/>
          <w:lang w:val="zh-CN"/>
        </w:rPr>
        <w:t xml:space="preserve">十、</w:t>
      </w:r>
      <w:r>
        <w:rPr>
          <w:rFonts w:hint="eastAsia" w:ascii="宋体" w:hAnsi="宋体" w:eastAsia="宋体" w:cs="宋体"/>
          <w:b/>
          <w:sz w:val="21"/>
          <w:szCs w:val="24"/>
          <w:highlight w:val="none"/>
        </w:rPr>
        <w:t xml:space="preserve">合同生效及其它</w:t>
      </w:r>
      <w:r/>
    </w:p>
    <w:p>
      <w:pPr>
        <w:ind w:firstLine="422"/>
        <w:spacing w:line="360" w:lineRule="auto"/>
        <w:rPr>
          <w:rFonts w:hint="default" w:ascii="宋体" w:hAnsi="宋体" w:eastAsia="宋体" w:cs="宋体"/>
          <w:sz w:val="21"/>
          <w:szCs w:val="24"/>
          <w:highlight w:val="none"/>
          <w:lang w:val="zh-CN"/>
        </w:rPr>
      </w:pPr>
      <w:r>
        <w:rPr>
          <w:rFonts w:hint="eastAsia" w:ascii="宋体" w:hAnsi="宋体" w:eastAsia="宋体" w:cs="宋体"/>
          <w:sz w:val="21"/>
          <w:szCs w:val="24"/>
          <w:highlight w:val="none"/>
        </w:rPr>
        <w:t xml:space="preserve"> 1、</w:t>
      </w:r>
      <w:r>
        <w:rPr>
          <w:rFonts w:hint="eastAsia" w:ascii="宋体" w:hAnsi="宋体" w:eastAsia="宋体" w:cs="宋体"/>
          <w:sz w:val="21"/>
          <w:szCs w:val="24"/>
          <w:highlight w:val="none"/>
          <w:lang w:val="zh-CN"/>
        </w:rPr>
        <w:t xml:space="preserve">本合同经甲乙双方法定代表人或其委托代理人签字并加盖公章（或合同章）后生效，</w:t>
      </w:r>
      <w:r>
        <w:rPr>
          <w:rFonts w:hint="eastAsia" w:ascii="宋体" w:hAnsi="宋体" w:eastAsia="宋体" w:cs="宋体"/>
          <w:sz w:val="21"/>
          <w:szCs w:val="24"/>
          <w:highlight w:val="none"/>
        </w:rPr>
        <w:t xml:space="preserve">生效后的合同在2个工作日内上传系统公示</w:t>
      </w:r>
      <w:r>
        <w:rPr>
          <w:rFonts w:hint="eastAsia" w:ascii="宋体" w:hAnsi="宋体" w:eastAsia="宋体" w:cs="宋体"/>
          <w:sz w:val="21"/>
          <w:szCs w:val="24"/>
          <w:highlight w:val="none"/>
          <w:lang w:val="zh-CN"/>
        </w:rPr>
        <w:t xml:space="preserve">。</w:t>
      </w:r>
      <w:r/>
    </w:p>
    <w:p>
      <w:pPr>
        <w:ind w:firstLine="422"/>
        <w:spacing w:line="360" w:lineRule="auto"/>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  2、合同在执行过程中出现的未尽事宜，双方在不违背本合同和招标文件的原则下协商解决，协商结果以书面形式盖章记录在案，作为本合同的附件，与本合同具有同等效力，但需向招标代理机构提交备存。</w:t>
      </w:r>
      <w:r/>
    </w:p>
    <w:p>
      <w:pPr>
        <w:ind w:firstLine="422"/>
        <w:spacing w:line="360" w:lineRule="auto"/>
        <w:rPr>
          <w:rFonts w:hint="default" w:ascii="宋体" w:hAnsi="宋体" w:eastAsia="宋体" w:cs="宋体"/>
          <w:sz w:val="21"/>
          <w:szCs w:val="24"/>
          <w:highlight w:val="none"/>
        </w:rPr>
      </w:pPr>
      <w:r>
        <w:rPr>
          <w:rFonts w:hint="eastAsia" w:ascii="宋体" w:hAnsi="宋体" w:eastAsia="宋体" w:cs="宋体"/>
          <w:sz w:val="21"/>
          <w:szCs w:val="24"/>
          <w:highlight w:val="none"/>
        </w:rPr>
        <w:t xml:space="preserve">3、未尽事宜：本合同未尽事宜应按《中华人民共和国民法典》、《中华人民共和国政府采购法》以及其同相关法律、法规之规定解释。</w:t>
      </w:r>
      <w:r/>
    </w:p>
    <w:p>
      <w:pPr>
        <w:ind w:firstLine="422"/>
        <w:spacing w:line="360" w:lineRule="auto"/>
        <w:rPr>
          <w:rFonts w:hint="default" w:ascii="宋体" w:hAnsi="宋体" w:eastAsia="宋体" w:cs="宋体"/>
          <w:sz w:val="21"/>
          <w:szCs w:val="24"/>
          <w:highlight w:val="none"/>
          <w:lang w:val="zh-CN"/>
        </w:rPr>
      </w:pPr>
      <w:r>
        <w:rPr>
          <w:rFonts w:hint="eastAsia" w:ascii="宋体" w:hAnsi="宋体" w:eastAsia="宋体" w:cs="宋体"/>
          <w:sz w:val="21"/>
          <w:szCs w:val="24"/>
          <w:highlight w:val="none"/>
        </w:rPr>
        <w:t xml:space="preserve">4、本合同一式</w:t>
      </w:r>
      <w:r>
        <w:rPr>
          <w:rFonts w:hint="eastAsia" w:ascii="宋体" w:hAnsi="宋体" w:eastAsia="宋体" w:cs="宋体"/>
          <w:sz w:val="21"/>
          <w:szCs w:val="24"/>
          <w:highlight w:val="none"/>
          <w:lang w:val="en-US" w:eastAsia="zh-CN"/>
        </w:rPr>
        <w:t xml:space="preserve">陆</w:t>
      </w:r>
      <w:r>
        <w:rPr>
          <w:rFonts w:hint="eastAsia" w:ascii="宋体" w:hAnsi="宋体" w:eastAsia="宋体" w:cs="宋体"/>
          <w:sz w:val="21"/>
          <w:szCs w:val="24"/>
          <w:highlight w:val="none"/>
        </w:rPr>
        <w:t xml:space="preserve">份，甲乙双方各贰份、招标代理机构</w:t>
      </w:r>
      <w:r>
        <w:rPr>
          <w:rFonts w:hint="eastAsia" w:ascii="宋体" w:hAnsi="宋体" w:eastAsia="宋体" w:cs="宋体"/>
          <w:sz w:val="21"/>
          <w:szCs w:val="24"/>
          <w:highlight w:val="none"/>
          <w:lang w:val="en-US" w:eastAsia="zh-CN"/>
        </w:rPr>
        <w:t xml:space="preserve">贰</w:t>
      </w:r>
      <w:r>
        <w:rPr>
          <w:rFonts w:hint="eastAsia" w:ascii="宋体" w:hAnsi="宋体" w:eastAsia="宋体" w:cs="宋体"/>
          <w:sz w:val="21"/>
          <w:szCs w:val="24"/>
          <w:highlight w:val="none"/>
        </w:rPr>
        <w:t xml:space="preserve">份，具备同等法律效力</w:t>
      </w:r>
      <w:r>
        <w:rPr>
          <w:rFonts w:hint="eastAsia" w:ascii="宋体" w:hAnsi="宋体" w:eastAsia="宋体" w:cs="宋体"/>
          <w:sz w:val="21"/>
          <w:szCs w:val="24"/>
          <w:highlight w:val="none"/>
          <w:lang w:val="zh-CN"/>
        </w:rPr>
        <w:t xml:space="preserve">。</w:t>
      </w:r>
      <w:r/>
    </w:p>
    <w:p>
      <w:pPr>
        <w:ind w:firstLine="400"/>
        <w:jc w:val="both"/>
        <w:tabs>
          <w:tab w:val="center" w:pos="4201" w:leader="none"/>
          <w:tab w:val="right" w:pos="9298" w:leader="dot"/>
        </w:tabs>
        <w:rPr>
          <w:rFonts w:hint="default" w:ascii="宋体" w:hAnsi="Times New Roman" w:eastAsia="Times New Roman" w:cs="Times New Roman"/>
          <w:highlight w:val="none"/>
          <w:lang w:val="zh-CN"/>
        </w:rPr>
      </w:pPr>
      <w:r>
        <w:rPr>
          <w:rFonts w:hint="default" w:ascii="宋体" w:hAnsi="Times New Roman" w:eastAsia="Times New Roman" w:cs="Times New Roman"/>
          <w:highlight w:val="none"/>
          <w:lang w:val="zh-CN"/>
        </w:rPr>
      </w:r>
      <w:r/>
    </w:p>
    <w:p>
      <w:pPr>
        <w:spacing w:line="480" w:lineRule="auto"/>
        <w:tabs>
          <w:tab w:val="left" w:pos="0" w:leader="none"/>
        </w:tabs>
        <w:rPr>
          <w:rFonts w:hint="default" w:ascii="宋体" w:hAnsi="宋体" w:eastAsia="宋体"/>
          <w:b/>
          <w:bCs/>
          <w:sz w:val="21"/>
          <w:szCs w:val="21"/>
          <w:highlight w:val="none"/>
        </w:rPr>
      </w:pPr>
      <w:r>
        <w:rPr>
          <w:rFonts w:hint="eastAsia" w:ascii="宋体" w:hAnsi="宋体" w:eastAsia="宋体"/>
          <w:b/>
          <w:bCs/>
          <w:sz w:val="21"/>
          <w:szCs w:val="21"/>
          <w:highlight w:val="none"/>
          <w:lang w:val="zh-CN"/>
        </w:rPr>
        <w:t xml:space="preserve">甲方</w:t>
      </w:r>
      <w:r>
        <w:rPr>
          <w:rFonts w:hint="default" w:ascii="宋体" w:hAnsi="宋体" w:eastAsia="宋体"/>
          <w:b/>
          <w:bCs/>
          <w:sz w:val="21"/>
          <w:szCs w:val="21"/>
          <w:highlight w:val="none"/>
        </w:rPr>
        <w:t xml:space="preserve">(</w:t>
      </w:r>
      <w:r>
        <w:rPr>
          <w:rFonts w:hint="eastAsia" w:ascii="宋体" w:hAnsi="宋体" w:eastAsia="宋体"/>
          <w:b/>
          <w:bCs/>
          <w:sz w:val="21"/>
          <w:szCs w:val="21"/>
          <w:highlight w:val="none"/>
          <w:lang w:val="zh-CN"/>
        </w:rPr>
        <w:t xml:space="preserve">公章或合同章</w:t>
      </w:r>
      <w:r>
        <w:rPr>
          <w:rFonts w:hint="default" w:ascii="宋体" w:hAnsi="宋体" w:eastAsia="宋体"/>
          <w:b/>
          <w:bCs/>
          <w:sz w:val="21"/>
          <w:szCs w:val="21"/>
          <w:highlight w:val="none"/>
        </w:rPr>
        <w:t xml:space="preserve">)</w:t>
      </w:r>
      <w:r>
        <w:rPr>
          <w:rFonts w:hint="eastAsia" w:ascii="宋体" w:hAnsi="宋体" w:eastAsia="宋体"/>
          <w:b/>
          <w:bCs/>
          <w:sz w:val="21"/>
          <w:szCs w:val="21"/>
          <w:highlight w:val="none"/>
        </w:rPr>
        <w:t xml:space="preserve">：                        </w:t>
      </w:r>
      <w:r>
        <w:rPr>
          <w:rFonts w:hint="eastAsia" w:ascii="宋体" w:hAnsi="宋体" w:eastAsia="宋体"/>
          <w:b/>
          <w:bCs/>
          <w:sz w:val="21"/>
          <w:szCs w:val="21"/>
          <w:highlight w:val="none"/>
          <w:lang w:val="zh-CN"/>
        </w:rPr>
        <w:t xml:space="preserve">乙方</w:t>
      </w:r>
      <w:r>
        <w:rPr>
          <w:rFonts w:hint="eastAsia" w:ascii="宋体" w:hAnsi="宋体" w:eastAsia="宋体"/>
          <w:b/>
          <w:bCs/>
          <w:sz w:val="21"/>
          <w:szCs w:val="21"/>
          <w:highlight w:val="none"/>
        </w:rPr>
        <w:t xml:space="preserve">（</w:t>
      </w:r>
      <w:r>
        <w:rPr>
          <w:rFonts w:hint="eastAsia" w:ascii="宋体" w:hAnsi="宋体" w:eastAsia="宋体"/>
          <w:b/>
          <w:bCs/>
          <w:sz w:val="21"/>
          <w:szCs w:val="21"/>
          <w:highlight w:val="none"/>
          <w:lang w:val="zh-CN"/>
        </w:rPr>
        <w:t xml:space="preserve">公章或合同章</w:t>
      </w:r>
      <w:r>
        <w:rPr>
          <w:rFonts w:hint="eastAsia" w:ascii="宋体" w:hAnsi="宋体" w:eastAsia="宋体"/>
          <w:b/>
          <w:bCs/>
          <w:sz w:val="21"/>
          <w:szCs w:val="21"/>
          <w:highlight w:val="none"/>
        </w:rPr>
        <w:t xml:space="preserve">）：</w:t>
      </w:r>
      <w:r/>
    </w:p>
    <w:p>
      <w:pPr>
        <w:ind w:firstLine="400"/>
        <w:jc w:val="both"/>
        <w:tabs>
          <w:tab w:val="center" w:pos="4201" w:leader="none"/>
          <w:tab w:val="right" w:pos="9298" w:leader="dot"/>
        </w:tabs>
        <w:rPr>
          <w:rFonts w:hint="default" w:ascii="宋体" w:hAnsi="Times New Roman" w:eastAsia="Times New Roman" w:cs="Times New Roman"/>
          <w:highlight w:val="none"/>
        </w:rPr>
      </w:pPr>
      <w:r>
        <w:rPr>
          <w:rFonts w:hint="default" w:ascii="宋体" w:hAnsi="Times New Roman" w:eastAsia="Times New Roman" w:cs="Times New Roman"/>
          <w:highlight w:val="none"/>
        </w:rPr>
      </w:r>
      <w:r/>
    </w:p>
    <w:p>
      <w:pPr>
        <w:spacing w:line="480" w:lineRule="auto"/>
        <w:tabs>
          <w:tab w:val="left" w:pos="0" w:leader="none"/>
        </w:tabs>
        <w:rPr>
          <w:rFonts w:hint="default" w:ascii="宋体" w:hAnsi="宋体" w:eastAsia="宋体"/>
          <w:b/>
          <w:bCs/>
          <w:sz w:val="21"/>
          <w:szCs w:val="21"/>
          <w:highlight w:val="none"/>
          <w:lang w:val="zh-CN"/>
        </w:rPr>
      </w:pPr>
      <w:r>
        <w:rPr>
          <w:rFonts w:hint="eastAsia" w:ascii="宋体" w:hAnsi="宋体" w:eastAsia="宋体"/>
          <w:b/>
          <w:bCs/>
          <w:sz w:val="21"/>
          <w:szCs w:val="21"/>
          <w:highlight w:val="none"/>
        </w:rPr>
        <w:t xml:space="preserve">法定代表人或</w:t>
      </w:r>
      <w:r>
        <w:rPr>
          <w:rFonts w:hint="eastAsia" w:ascii="宋体" w:hAnsi="宋体" w:eastAsia="宋体"/>
          <w:b/>
          <w:bCs/>
          <w:sz w:val="21"/>
          <w:szCs w:val="21"/>
          <w:highlight w:val="none"/>
          <w:lang w:val="zh-CN"/>
        </w:rPr>
        <w:t xml:space="preserve">授权代理人（签字或盖章）：</w:t>
      </w:r>
      <w:r>
        <w:rPr>
          <w:rFonts w:hint="default" w:ascii="宋体" w:hAnsi="宋体" w:eastAsia="宋体"/>
          <w:b/>
          <w:bCs/>
          <w:sz w:val="21"/>
          <w:szCs w:val="21"/>
          <w:highlight w:val="none"/>
          <w:lang w:val="zh-CN"/>
        </w:rPr>
        <w:tab/>
      </w:r>
      <w:r>
        <w:rPr>
          <w:rFonts w:hint="default" w:ascii="宋体" w:hAnsi="宋体" w:eastAsia="宋体"/>
          <w:b/>
          <w:bCs/>
          <w:sz w:val="21"/>
          <w:szCs w:val="21"/>
          <w:highlight w:val="none"/>
          <w:lang w:val="zh-CN"/>
        </w:rPr>
        <w:tab/>
      </w:r>
      <w:r>
        <w:rPr>
          <w:rFonts w:hint="eastAsia" w:ascii="宋体" w:hAnsi="宋体" w:eastAsia="宋体"/>
          <w:b/>
          <w:bCs/>
          <w:sz w:val="21"/>
          <w:szCs w:val="21"/>
          <w:highlight w:val="none"/>
        </w:rPr>
        <w:t xml:space="preserve">法定代表人或</w:t>
      </w:r>
      <w:r>
        <w:rPr>
          <w:rFonts w:hint="eastAsia" w:ascii="宋体" w:hAnsi="宋体" w:eastAsia="宋体"/>
          <w:b/>
          <w:bCs/>
          <w:sz w:val="21"/>
          <w:szCs w:val="21"/>
          <w:highlight w:val="none"/>
          <w:lang w:val="zh-CN"/>
        </w:rPr>
        <w:t xml:space="preserve">授权代理人（签字或盖章）：</w:t>
      </w:r>
      <w:r>
        <w:rPr>
          <w:rFonts w:hint="default" w:ascii="宋体" w:hAnsi="宋体" w:eastAsia="宋体"/>
          <w:b/>
          <w:bCs/>
          <w:sz w:val="21"/>
          <w:szCs w:val="21"/>
          <w:highlight w:val="none"/>
          <w:lang w:val="zh-CN"/>
        </w:rPr>
        <w:tab/>
      </w:r>
      <w:r/>
    </w:p>
    <w:p>
      <w:pPr>
        <w:ind w:firstLine="420"/>
        <w:jc w:val="both"/>
        <w:widowControl w:val="off"/>
        <w:rPr>
          <w:rFonts w:hint="default" w:ascii="Times New Roman" w:hAnsi="Times New Roman" w:eastAsia="宋体" w:cs="Times New Roman"/>
          <w:sz w:val="21"/>
          <w:szCs w:val="20"/>
          <w:highlight w:val="none"/>
          <w:lang w:val="zh-CN"/>
        </w:rPr>
      </w:pPr>
      <w:r>
        <w:rPr>
          <w:rFonts w:hint="default" w:ascii="Times New Roman" w:hAnsi="Times New Roman" w:eastAsia="宋体" w:cs="Times New Roman"/>
          <w:sz w:val="21"/>
          <w:szCs w:val="20"/>
          <w:highlight w:val="none"/>
          <w:lang w:val="zh-CN"/>
        </w:rPr>
      </w:r>
      <w:r/>
    </w:p>
    <w:p>
      <w:pPr>
        <w:spacing w:line="360" w:lineRule="auto"/>
        <w:rPr>
          <w:rFonts w:hint="default" w:ascii="宋体" w:hAnsi="宋体" w:eastAsia="宋体" w:cs="宋体"/>
          <w:sz w:val="21"/>
          <w:szCs w:val="21"/>
          <w:highlight w:val="none"/>
        </w:rPr>
      </w:pPr>
      <w:r>
        <w:rPr>
          <w:rFonts w:hint="eastAsia" w:ascii="宋体" w:hAnsi="宋体" w:eastAsia="宋体"/>
          <w:b/>
          <w:bCs/>
          <w:sz w:val="21"/>
          <w:szCs w:val="21"/>
          <w:highlight w:val="none"/>
        </w:rPr>
        <w:t xml:space="preserve">合同签订日期： </w:t>
      </w:r>
      <w:r>
        <w:rPr>
          <w:rFonts w:hint="eastAsia" w:ascii="宋体" w:hAnsi="宋体" w:eastAsia="宋体"/>
          <w:b/>
          <w:bCs/>
          <w:sz w:val="21"/>
          <w:szCs w:val="21"/>
          <w:highlight w:val="none"/>
          <w:lang w:val="zh-CN"/>
        </w:rPr>
        <w:t xml:space="preserve">     年月日                  </w:t>
      </w:r>
      <w:r>
        <w:rPr>
          <w:rFonts w:hint="eastAsia" w:ascii="宋体" w:hAnsi="宋体" w:eastAsia="宋体"/>
          <w:b/>
          <w:bCs/>
          <w:sz w:val="21"/>
          <w:szCs w:val="21"/>
          <w:highlight w:val="none"/>
        </w:rPr>
        <w:t xml:space="preserve">合同签订日期： </w:t>
      </w:r>
      <w:r>
        <w:rPr>
          <w:rFonts w:hint="eastAsia" w:ascii="宋体" w:hAnsi="宋体" w:eastAsia="宋体"/>
          <w:b/>
          <w:bCs/>
          <w:sz w:val="21"/>
          <w:szCs w:val="21"/>
          <w:highlight w:val="none"/>
          <w:lang w:val="zh-CN"/>
        </w:rPr>
        <w:t xml:space="preserve">     年月日</w:t>
      </w:r>
      <w:r/>
    </w:p>
    <w:p>
      <w:pPr>
        <w:ind w:firstLine="643"/>
        <w:rPr>
          <w:rFonts w:ascii="宋体" w:hAnsi="宋体" w:eastAsia="宋体"/>
          <w:b/>
          <w:sz w:val="32"/>
          <w:szCs w:val="32"/>
          <w:highlight w:val="none"/>
        </w:rPr>
      </w:pPr>
      <w:r>
        <w:rPr>
          <w:rFonts w:ascii="宋体" w:hAnsi="宋体" w:eastAsia="宋体"/>
          <w:b/>
          <w:sz w:val="32"/>
          <w:szCs w:val="32"/>
          <w:highlight w:val="none"/>
        </w:rPr>
      </w:r>
      <w:r/>
    </w:p>
    <w:p>
      <w:pPr>
        <w:rPr>
          <w:rFonts w:ascii="宋体" w:hAnsi="宋体" w:eastAsia="宋体"/>
          <w:b/>
          <w:sz w:val="24"/>
          <w:szCs w:val="24"/>
          <w:highlight w:val="none"/>
        </w:rPr>
      </w:pPr>
      <w:r>
        <w:rPr>
          <w:rFonts w:hint="eastAsia" w:ascii="宋体" w:hAnsi="宋体" w:eastAsia="宋体"/>
          <w:b/>
          <w:sz w:val="32"/>
          <w:szCs w:val="32"/>
          <w:highlight w:val="none"/>
        </w:rPr>
        <w:br w:type="page" w:clear="all"/>
      </w:r>
      <w:r/>
    </w:p>
    <w:p>
      <w:pPr>
        <w:jc w:val="center"/>
        <w:spacing w:line="360" w:lineRule="auto"/>
        <w:rPr>
          <w:rFonts w:ascii="宋体" w:hAnsi="宋体" w:eastAsia="宋体"/>
          <w:b/>
          <w:color w:val="ff0000"/>
          <w:sz w:val="32"/>
          <w:szCs w:val="32"/>
          <w:highlight w:val="none"/>
        </w:rPr>
        <w:outlineLvl w:val="0"/>
      </w:pPr>
      <w:r>
        <w:rPr>
          <w:rFonts w:hint="eastAsia" w:ascii="宋体" w:hAnsi="宋体" w:eastAsia="宋体"/>
          <w:b/>
          <w:sz w:val="32"/>
          <w:szCs w:val="32"/>
          <w:highlight w:val="none"/>
        </w:rPr>
        <w:t xml:space="preserve">第六章 评标办法及评分标准</w:t>
      </w:r>
      <w:bookmarkEnd w:id="58"/>
      <w:r/>
      <w:bookmarkEnd w:id="59"/>
      <w:r/>
      <w:r/>
    </w:p>
    <w:p>
      <w:pPr>
        <w:jc w:val="left"/>
        <w:spacing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一、评标办法：</w:t>
      </w:r>
      <w:r/>
    </w:p>
    <w:p>
      <w:pPr>
        <w:ind w:firstLine="422"/>
        <w:spacing w:line="360" w:lineRule="auto"/>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2．评标委员会各成员独立对每个进入打分程序的有效投标单位的标书技术和资质部分以打分的形式进行评审和评价。 </w:t>
      </w:r>
      <w:r/>
    </w:p>
    <w:p>
      <w:pPr>
        <w:ind w:firstLine="422"/>
        <w:spacing w:line="360" w:lineRule="auto"/>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4．如出现评标总得分最高的投标单位有两个或两个以上的，以实际投标报价较低者优先作为中标单位，如果实际投标报价也相同的，则由评标委员会以抽签方式确定中标单位。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hint="default" w:ascii="宋体" w:hAnsi="宋体" w:eastAsia="宋体"/>
          <w:b/>
          <w:sz w:val="21"/>
          <w:szCs w:val="24"/>
          <w:highlight w:val="none"/>
        </w:rPr>
      </w:pPr>
      <w:r>
        <w:rPr>
          <w:rFonts w:hint="eastAsia" w:ascii="宋体" w:hAnsi="宋体" w:eastAsia="宋体" w:cs="宋体"/>
          <w:sz w:val="21"/>
          <w:szCs w:val="21"/>
          <w:highlight w:val="none"/>
        </w:rPr>
        <w:t xml:space="preserve">5.</w:t>
      </w:r>
      <w:r>
        <w:rPr>
          <w:rFonts w:hint="eastAsia" w:ascii="宋体" w:hAnsi="宋体" w:eastAsia="宋体"/>
          <w:sz w:val="21"/>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jc w:val="left"/>
        <w:spacing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二、评分标准：</w:t>
      </w:r>
      <w:r/>
    </w:p>
    <w:p>
      <w:pPr>
        <w:numPr>
          <w:ilvl w:val="0"/>
          <w:numId w:val="6"/>
        </w:numPr>
        <w:spacing w:line="400" w:lineRule="exact"/>
        <w:tabs>
          <w:tab w:val="left" w:pos="567" w:leader="none"/>
        </w:tabs>
        <w:rPr>
          <w:rFonts w:ascii="宋体" w:hAnsi="宋体" w:eastAsia="宋体" w:cs="宋体"/>
          <w:b/>
          <w:bCs/>
          <w:sz w:val="21"/>
          <w:szCs w:val="21"/>
          <w:highlight w:val="none"/>
        </w:rPr>
        <w:outlineLvl w:val="2"/>
      </w:pPr>
      <w:r>
        <w:rPr>
          <w:rFonts w:hint="eastAsia" w:ascii="宋体" w:hAnsi="宋体" w:eastAsia="宋体" w:cs="宋体"/>
          <w:b/>
          <w:bCs/>
          <w:sz w:val="21"/>
          <w:szCs w:val="21"/>
          <w:highlight w:val="none"/>
        </w:rPr>
        <w:t xml:space="preserve">价格分（30分）</w:t>
      </w:r>
      <w:r/>
    </w:p>
    <w:p>
      <w:pPr>
        <w:ind w:firstLine="420"/>
        <w:spacing w:line="400" w:lineRule="exact"/>
        <w:tabs>
          <w:tab w:val="left" w:pos="420" w:leader="none"/>
        </w:tabs>
        <w:rPr>
          <w:rFonts w:ascii="宋体" w:hAnsi="宋体" w:eastAsia="宋体" w:cs="宋体"/>
          <w:sz w:val="21"/>
          <w:szCs w:val="21"/>
          <w:highlight w:val="none"/>
        </w:rPr>
      </w:pPr>
      <w:r>
        <w:rPr>
          <w:rFonts w:hint="eastAsia" w:ascii="宋体" w:hAnsi="宋体" w:eastAsia="宋体" w:cs="宋体"/>
          <w:sz w:val="21"/>
          <w:szCs w:val="21"/>
          <w:highlight w:val="none"/>
        </w:rPr>
        <w:t xml:space="preserve">1.投标报价不超过采购预算价格的，为有效投标报价。超出此范围的投标报价为无效投标报价。无效投标报价的投标文件不进行评审，也不得标。</w:t>
      </w:r>
      <w:r/>
    </w:p>
    <w:p>
      <w:pPr>
        <w:ind w:firstLine="420"/>
        <w:spacing w:line="400" w:lineRule="exact"/>
        <w:tabs>
          <w:tab w:val="left" w:pos="420" w:leader="none"/>
        </w:tabs>
        <w:rPr>
          <w:rFonts w:ascii="宋体" w:hAnsi="宋体" w:eastAsia="宋体" w:cs="宋体"/>
          <w:sz w:val="21"/>
          <w:szCs w:val="21"/>
          <w:highlight w:val="none"/>
        </w:rPr>
      </w:pPr>
      <w:r>
        <w:rPr>
          <w:rFonts w:hint="eastAsia" w:ascii="宋体" w:hAnsi="宋体" w:eastAsia="宋体" w:cs="宋体"/>
          <w:sz w:val="21"/>
          <w:szCs w:val="21"/>
          <w:highlight w:val="none"/>
        </w:rPr>
        <w:t xml:space="preserve">2.价格得分计算方法：根据各投标人通过符合性审查的有效投标报价中的最低价作为评标基准价，其价格分为最高分。</w:t>
      </w:r>
      <w:r/>
    </w:p>
    <w:p>
      <w:pPr>
        <w:ind w:firstLine="420"/>
        <w:spacing w:line="400" w:lineRule="exact"/>
        <w:tabs>
          <w:tab w:val="left" w:pos="4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3.其他投标人的价格分统一按照下列公式计算：投标报价得分=(评标基准价／投标报价)×价格权值×100，小数点后保留两位。</w:t>
      </w:r>
      <w:r/>
    </w:p>
    <w:p>
      <w:pPr>
        <w:ind w:firstLine="422"/>
        <w:jc w:val="left"/>
        <w:spacing w:line="360" w:lineRule="auto"/>
        <w:rPr>
          <w:rFonts w:hint="default"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lang w:val="zh-CN"/>
        </w:rPr>
        <w:t xml:space="preserve">（二）</w:t>
      </w:r>
      <w:r>
        <w:rPr>
          <w:rFonts w:hint="eastAsia" w:ascii="宋体" w:hAnsi="宋体" w:eastAsia="宋体" w:cs="宋体"/>
          <w:b/>
          <w:color w:val="000000"/>
          <w:sz w:val="21"/>
          <w:szCs w:val="21"/>
          <w:highlight w:val="none"/>
          <w:lang w:val="zh-CN"/>
        </w:rPr>
        <w:t xml:space="preserve">投标设备的技术与质量（最高为</w:t>
      </w:r>
      <w:r>
        <w:rPr>
          <w:rFonts w:hint="eastAsia" w:ascii="宋体" w:hAnsi="宋体" w:eastAsia="宋体" w:cs="宋体"/>
          <w:b/>
          <w:color w:val="000000"/>
          <w:sz w:val="21"/>
          <w:szCs w:val="21"/>
          <w:highlight w:val="none"/>
          <w:lang w:val="en-US" w:eastAsia="zh-CN"/>
        </w:rPr>
        <w:t xml:space="preserve">34</w:t>
      </w:r>
      <w:r>
        <w:rPr>
          <w:rFonts w:hint="eastAsia" w:ascii="宋体" w:hAnsi="宋体" w:eastAsia="宋体" w:cs="宋体"/>
          <w:b/>
          <w:color w:val="000000"/>
          <w:sz w:val="21"/>
          <w:szCs w:val="21"/>
          <w:highlight w:val="none"/>
          <w:lang w:val="zh-CN"/>
        </w:rPr>
        <w:t xml:space="preserve">分）</w:t>
      </w:r>
      <w:r/>
    </w:p>
    <w:p>
      <w:pPr>
        <w:ind w:firstLine="420"/>
        <w:spacing w:line="360" w:lineRule="auto"/>
        <w:tabs>
          <w:tab w:val="left" w:pos="630" w:leader="none"/>
        </w:tabs>
        <w:rPr>
          <w:rFonts w:hint="default"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1、</w:t>
      </w:r>
      <w:r>
        <w:rPr>
          <w:rFonts w:hint="eastAsia" w:ascii="宋体" w:hAnsi="宋体" w:eastAsia="宋体" w:cs="宋体"/>
          <w:bCs/>
          <w:color w:val="000000"/>
          <w:sz w:val="21"/>
          <w:szCs w:val="21"/>
          <w:highlight w:val="none"/>
        </w:rPr>
        <w:t xml:space="preserve">投标产品的技术参数、功能等符合情况：最高为</w:t>
      </w:r>
      <w:r>
        <w:rPr>
          <w:rFonts w:hint="eastAsia" w:ascii="宋体" w:hAnsi="宋体" w:eastAsia="宋体" w:cs="宋体"/>
          <w:bCs/>
          <w:color w:val="000000"/>
          <w:sz w:val="21"/>
          <w:szCs w:val="21"/>
          <w:highlight w:val="none"/>
          <w:lang w:val="en-US" w:eastAsia="zh-CN"/>
        </w:rPr>
        <w:t xml:space="preserve">30</w:t>
      </w:r>
      <w:r>
        <w:rPr>
          <w:rFonts w:hint="eastAsia" w:ascii="宋体" w:hAnsi="宋体" w:eastAsia="宋体" w:cs="宋体"/>
          <w:bCs/>
          <w:color w:val="000000"/>
          <w:sz w:val="21"/>
          <w:szCs w:val="21"/>
          <w:highlight w:val="none"/>
        </w:rPr>
        <w:t xml:space="preserve">分</w:t>
      </w:r>
      <w:r/>
    </w:p>
    <w:p>
      <w:pPr>
        <w:ind w:firstLine="420"/>
        <w:spacing w:line="360" w:lineRule="auto"/>
        <w:tabs>
          <w:tab w:val="left" w:pos="630" w:leader="none"/>
        </w:tabs>
        <w:rPr>
          <w:rFonts w:hint="eastAsia" w:ascii="宋体" w:hAnsi="宋体" w:eastAsia="宋体"/>
          <w:bCs/>
          <w:color w:val="000000"/>
          <w:sz w:val="21"/>
          <w:szCs w:val="21"/>
          <w:highlight w:val="none"/>
          <w:lang w:eastAsia="zh-CN"/>
        </w:rPr>
      </w:pPr>
      <w:r>
        <w:rPr>
          <w:rFonts w:hint="eastAsia" w:ascii="宋体" w:hAnsi="宋体" w:eastAsia="宋体"/>
          <w:bCs/>
          <w:color w:val="000000"/>
          <w:sz w:val="21"/>
          <w:szCs w:val="21"/>
          <w:highlight w:val="none"/>
        </w:rPr>
        <w:t xml:space="preserve">标注“▲”的为重要指标，“▲”负偏离每项扣3分，一般技术条款负偏离每项扣1分</w:t>
      </w:r>
      <w:r>
        <w:rPr>
          <w:rFonts w:hint="eastAsia" w:ascii="宋体" w:hAnsi="宋体" w:eastAsia="宋体"/>
          <w:bCs/>
          <w:color w:val="000000"/>
          <w:sz w:val="21"/>
          <w:szCs w:val="21"/>
          <w:highlight w:val="none"/>
          <w:lang w:eastAsia="zh-CN"/>
        </w:rPr>
        <w:t xml:space="preserve">。</w:t>
      </w:r>
      <w:r/>
    </w:p>
    <w:p>
      <w:pPr>
        <w:ind w:firstLine="420"/>
        <w:spacing w:line="360" w:lineRule="auto"/>
        <w:tabs>
          <w:tab w:val="left" w:pos="630" w:leader="none"/>
        </w:tabs>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注：未在《技术规格偏离表》中响应的条款，视同负偏离；如为标注“▲”的指标必须提供相应的有效证明材料（如白皮书、设备生产厂家证明、彩页、手册、检测报告等材料，证明材料不一致时，依次以检测报告、彩页、设备生产厂家证明、手册、白皮书的顺序认定）以证明技术参数及功能的有效性，如未附有效证明材料或者所附的证明材料由评标委员会认为不能佐证技术指标的有效性的，则同样视为负偏离。</w:t>
      </w:r>
      <w:r/>
    </w:p>
    <w:p>
      <w:pPr>
        <w:ind w:firstLine="420"/>
        <w:spacing w:line="360" w:lineRule="auto"/>
        <w:tabs>
          <w:tab w:val="left" w:pos="630" w:leader="none"/>
        </w:tabs>
        <w:rPr>
          <w:rFonts w:hint="default" w:ascii="宋体" w:hAnsi="宋体" w:eastAsia="宋体" w:cs="宋体"/>
          <w:bCs/>
          <w:sz w:val="21"/>
          <w:szCs w:val="21"/>
          <w:highlight w:val="none"/>
        </w:rPr>
      </w:pPr>
      <w:r>
        <w:rPr>
          <w:rFonts w:hint="eastAsia" w:ascii="宋体" w:hAnsi="宋体" w:eastAsia="宋体" w:cs="宋体"/>
          <w:bCs/>
          <w:sz w:val="21"/>
          <w:szCs w:val="21"/>
          <w:highlight w:val="none"/>
        </w:rPr>
        <w:t xml:space="preserve">2、针对本项目提供车辆整体系统性能情况：4分</w:t>
      </w:r>
      <w:r/>
    </w:p>
    <w:p>
      <w:pPr>
        <w:ind w:firstLine="420"/>
        <w:spacing w:line="360" w:lineRule="auto"/>
        <w:tabs>
          <w:tab w:val="left" w:pos="630" w:leader="none"/>
        </w:tabs>
        <w:rPr>
          <w:rFonts w:hint="default" w:ascii="宋体" w:hAnsi="宋体" w:eastAsia="宋体" w:cs="宋体"/>
          <w:bCs/>
          <w:sz w:val="21"/>
          <w:szCs w:val="21"/>
          <w:highlight w:val="none"/>
        </w:rPr>
      </w:pPr>
      <w:r>
        <w:rPr>
          <w:rFonts w:hint="eastAsia" w:ascii="宋体" w:hAnsi="宋体" w:eastAsia="宋体" w:cs="宋体"/>
          <w:bCs/>
          <w:sz w:val="21"/>
          <w:szCs w:val="21"/>
          <w:highlight w:val="none"/>
        </w:rPr>
        <w:t xml:space="preserve">提供车辆整体系统性能科学合理、安全性、实用性、舒适性等情况；系统性能设计完善，安全稳定、可靠、实用、舒适最高的得4分，车辆整体系统性能设计良好，安全稳定、可靠、实用、舒适良好的得2分；车辆整体系统性能设计一般、安全、实用性、舒适性一般的，得1分，未提供或提供的与本次招标内容不符合本项不得分。最高4分</w:t>
      </w:r>
      <w:r/>
    </w:p>
    <w:p>
      <w:pPr>
        <w:ind w:firstLine="422"/>
        <w:spacing w:line="360" w:lineRule="auto"/>
        <w:rPr>
          <w:rFonts w:hint="default" w:ascii="宋体" w:hAnsi="宋体" w:eastAsia="宋体"/>
          <w:b/>
          <w:bCs/>
          <w:sz w:val="21"/>
          <w:szCs w:val="21"/>
          <w:highlight w:val="none"/>
        </w:rPr>
      </w:pPr>
      <w:r>
        <w:rPr>
          <w:rFonts w:hint="eastAsia" w:eastAsia="宋体"/>
          <w:b/>
          <w:bCs/>
          <w:sz w:val="21"/>
          <w:szCs w:val="21"/>
          <w:highlight w:val="none"/>
        </w:rPr>
        <w:t xml:space="preserve">（三）</w:t>
      </w:r>
      <w:r>
        <w:rPr>
          <w:rFonts w:hint="eastAsia" w:ascii="宋体" w:hAnsi="宋体" w:eastAsia="宋体"/>
          <w:b/>
          <w:bCs/>
          <w:sz w:val="21"/>
          <w:szCs w:val="21"/>
          <w:highlight w:val="none"/>
        </w:rPr>
        <w:t xml:space="preserve">技术服务及售后服务方案（</w:t>
      </w:r>
      <w:r>
        <w:rPr>
          <w:rFonts w:hint="eastAsia" w:ascii="宋体" w:hAnsi="宋体" w:eastAsia="宋体"/>
          <w:b/>
          <w:bCs/>
          <w:sz w:val="21"/>
          <w:szCs w:val="21"/>
          <w:highlight w:val="none"/>
          <w:lang w:val="en-US" w:eastAsia="zh-CN"/>
        </w:rPr>
        <w:t xml:space="preserve">30</w:t>
      </w:r>
      <w:r>
        <w:rPr>
          <w:rFonts w:hint="eastAsia" w:ascii="宋体" w:hAnsi="宋体" w:eastAsia="宋体"/>
          <w:b/>
          <w:bCs/>
          <w:sz w:val="21"/>
          <w:szCs w:val="21"/>
          <w:highlight w:val="none"/>
        </w:rPr>
        <w:t xml:space="preserve">分）</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1、针对本项目的技术服务体系（包括专业技术人员保障及服务技术力量配置等）（</w:t>
      </w: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rPr>
        <w:t xml:space="preserve">分）</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技术服务体系内容阐述合理、描述详细、科学合理可行性高的得</w:t>
      </w: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rPr>
        <w:t xml:space="preserve">分；技术服务体系内容阐述详实程度较好，科学合理性可实施性较好的得</w:t>
      </w: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rPr>
        <w:t xml:space="preserve">分；技术服务体系内容阐述详实程度较好，科学合理性可实施性一般的得</w:t>
      </w: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rPr>
        <w:t xml:space="preserve">分；技术服务体系内容阐述合理性差或不详细不够具体全面的得</w:t>
      </w: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分，未提供相关说明或所提供技术服务体系内容存在逻辑错误、前后矛盾的不得分。</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2、针对本项目的售后服务内容（包括售后服务人员、响应时间、备品配件费用等）（6分）</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售后服务内容详实具体科学可行合理性高的得6分；售后服务内容较为详细较为合理可行的得4分；售后服务内容不够详细合理性可行性一般的得2分；售后服务内容不够详细合理性可行性较差的得1分；未提供相关说明或或存在逻辑错误、前后矛盾的不得分。</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3、针对本项目的应急和重大故障解决方案（包括应急和重大故障预防措施，以及出现问题的响应时间、补救措施等）（6分）</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方案考虑详实具体全面周到、应对措施科学合理可行的得6分；方案考虑较为详细较为合理可行的得4分；方案考虑不够详细合理性可行性一般的得2分；方案考虑不够全面合理性可行性较差的得1分；未提供相关说明或存在逻辑错误、前后矛盾的不得分。</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4、针对本项目使用方人员的技术培训方案（</w:t>
      </w: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rPr>
        <w:t xml:space="preserve">分）</w:t>
      </w:r>
      <w:r/>
    </w:p>
    <w:p>
      <w:p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评委根据投标单位提供的针对本项目使用方人员的技术培训方案（包括但不限于使用操作、常规检查、保养内容、日常使用注意事项等方面）进行综合评分：培训服务方案详实具体、针对性、可实施性强的得</w:t>
      </w: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rPr>
        <w:t xml:space="preserve">分；培训服务方案较为详细、针对性、可实施性较好得</w:t>
      </w: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rPr>
        <w:t xml:space="preserve">分；培训服务方案不够详细，针对性、可实施性一般的得</w:t>
      </w: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rPr>
        <w:t xml:space="preserve">分；培训服务方案不够详细，针对性、可实施性较差的得</w:t>
      </w: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分，未提供相关说明或存在逻辑错误、前后矛盾的不得分。</w:t>
      </w:r>
      <w:r/>
    </w:p>
    <w:p>
      <w:pPr>
        <w:numPr>
          <w:ilvl w:val="0"/>
          <w:numId w:val="7"/>
        </w:num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针对本项目交货进度计划及安装调试验收方案（</w:t>
      </w: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rPr>
        <w:t xml:space="preserve">分）</w:t>
      </w:r>
      <w:r/>
    </w:p>
    <w:p>
      <w:pPr>
        <w:numPr>
          <w:ilvl w:val="0"/>
          <w:numId w:val="0"/>
        </w:numPr>
        <w:ind w:firstLine="420"/>
        <w:spacing w:line="360" w:lineRule="auto"/>
        <w:rPr>
          <w:rFonts w:hint="default" w:ascii="宋体" w:hAnsi="宋体" w:eastAsia="宋体"/>
          <w:sz w:val="21"/>
          <w:szCs w:val="21"/>
          <w:highlight w:val="none"/>
        </w:rPr>
      </w:pPr>
      <w:r>
        <w:rPr>
          <w:rFonts w:hint="eastAsia" w:ascii="宋体" w:hAnsi="宋体" w:eastAsia="宋体"/>
          <w:sz w:val="21"/>
          <w:szCs w:val="21"/>
          <w:highlight w:val="none"/>
        </w:rPr>
        <w:t xml:space="preserve">投标单位提供针对本项目的交货进度计划及安装调试验收方案：交货进度计划及安装调试验收方案详实具体，有相关保障措施，科学合理可行性高为</w:t>
      </w: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rPr>
        <w:t xml:space="preserve">分；交货进度计划及安装调试验收方案较为详细，合理性可行性较好为</w:t>
      </w: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rPr>
        <w:t xml:space="preserve">分；交货进度计划及安装调试验收方案不够详细，合理性和可行性一般为</w:t>
      </w: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rPr>
        <w:t xml:space="preserve">分；交货进度计划及安装调试验收方案内容简单，合理性可行性较差为</w:t>
      </w: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分；未提供相关说明不得分。</w:t>
      </w:r>
      <w:r/>
    </w:p>
    <w:p>
      <w:pPr>
        <w:ind w:firstLine="422"/>
        <w:spacing w:line="360" w:lineRule="auto"/>
        <w:rPr>
          <w:rFonts w:hint="default"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（四）类似业绩情况（</w:t>
      </w:r>
      <w:r>
        <w:rPr>
          <w:rFonts w:hint="eastAsia" w:ascii="宋体" w:hAnsi="宋体" w:eastAsia="宋体"/>
          <w:b/>
          <w:bCs/>
          <w:color w:val="000000"/>
          <w:sz w:val="21"/>
          <w:szCs w:val="21"/>
          <w:highlight w:val="none"/>
          <w:lang w:val="en-US" w:eastAsia="zh-CN"/>
        </w:rPr>
        <w:t xml:space="preserve">6</w:t>
      </w:r>
      <w:r>
        <w:rPr>
          <w:rFonts w:hint="eastAsia" w:ascii="宋体" w:hAnsi="宋体" w:eastAsia="宋体"/>
          <w:b/>
          <w:bCs/>
          <w:color w:val="000000"/>
          <w:sz w:val="21"/>
          <w:szCs w:val="21"/>
          <w:highlight w:val="none"/>
        </w:rPr>
        <w:t xml:space="preserve">分）</w:t>
      </w:r>
      <w:r/>
    </w:p>
    <w:p>
      <w:pPr>
        <w:ind w:firstLine="420"/>
        <w:spacing w:line="360" w:lineRule="auto"/>
        <w:rPr>
          <w:rFonts w:hint="default"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202</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t xml:space="preserve">年1月1日（以合同签订日期为准）至今投标单位</w:t>
      </w:r>
      <w:r>
        <w:rPr>
          <w:rFonts w:hint="eastAsia" w:ascii="宋体" w:hAnsi="宋体" w:eastAsia="宋体"/>
          <w:color w:val="000000"/>
          <w:sz w:val="21"/>
          <w:szCs w:val="21"/>
          <w:highlight w:val="none"/>
          <w:lang w:val="en-US" w:eastAsia="zh-CN"/>
        </w:rPr>
        <w:t xml:space="preserve">具有</w:t>
      </w:r>
      <w:r>
        <w:rPr>
          <w:rFonts w:hint="eastAsia" w:ascii="宋体" w:hAnsi="宋体" w:eastAsia="宋体"/>
          <w:color w:val="000000"/>
          <w:sz w:val="21"/>
          <w:szCs w:val="21"/>
          <w:highlight w:val="none"/>
        </w:rPr>
        <w:t xml:space="preserve">类似项目业绩情况，每提供一份得</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t xml:space="preserve">分，最高</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rPr>
        <w:t xml:space="preserve">分（投标文件中提供完整的合同</w:t>
      </w:r>
      <w:r>
        <w:rPr>
          <w:rFonts w:hint="eastAsia" w:ascii="宋体" w:hAnsi="宋体" w:eastAsia="宋体"/>
          <w:color w:val="000000"/>
          <w:sz w:val="21"/>
          <w:szCs w:val="21"/>
          <w:highlight w:val="none"/>
          <w:lang w:val="en-US" w:eastAsia="zh-CN"/>
        </w:rPr>
        <w:t xml:space="preserve">扫描件</w:t>
      </w:r>
      <w:r>
        <w:rPr>
          <w:rFonts w:hint="eastAsia" w:ascii="宋体" w:hAnsi="宋体" w:eastAsia="宋体"/>
          <w:color w:val="000000"/>
          <w:sz w:val="21"/>
          <w:szCs w:val="21"/>
          <w:highlight w:val="none"/>
        </w:rPr>
        <w:t xml:space="preserve">，未提供或资料不全的不得分）。</w:t>
      </w:r>
      <w:r/>
    </w:p>
    <w:p>
      <w:pPr>
        <w:ind w:firstLine="420"/>
        <w:jc w:val="left"/>
        <w:spacing w:line="400" w:lineRule="exac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注：超过采购预算价的投标人将不进入标书综合评审不得中标。</w:t>
      </w:r>
      <w:r/>
    </w:p>
    <w:p>
      <w:pPr>
        <w:ind w:firstLine="420"/>
        <w:jc w:val="right"/>
        <w:spacing w:line="360" w:lineRule="auto"/>
        <w:rPr>
          <w:rFonts w:ascii="宋体" w:hAnsi="宋体" w:eastAsia="宋体" w:cs="宋体"/>
          <w:sz w:val="21"/>
          <w:szCs w:val="21"/>
          <w:highlight w:val="none"/>
        </w:rPr>
      </w:pPr>
      <w:r>
        <w:rPr>
          <w:rFonts w:hint="eastAsia" w:ascii="宋体" w:hAnsi="宋体" w:eastAsia="宋体"/>
          <w:sz w:val="21"/>
          <w:szCs w:val="21"/>
          <w:highlight w:val="none"/>
        </w:rPr>
        <w:t xml:space="preserve">（全文完）</w:t>
      </w:r>
      <w:r/>
    </w:p>
    <w:p>
      <w:pPr>
        <w:rPr>
          <w:rFonts w:ascii="宋体" w:hAnsi="宋体" w:eastAsia="宋体"/>
          <w:highlight w:val="none"/>
        </w:rPr>
      </w:pPr>
      <w:r>
        <w:rPr>
          <w:rFonts w:hint="eastAsia" w:ascii="宋体" w:hAnsi="宋体" w:eastAsia="宋体"/>
          <w:highlight w:val="none"/>
        </w:rPr>
        <w:t xml:space="preserve"> </w:t>
      </w:r>
      <w:r/>
    </w:p>
    <w:sectPr>
      <w:footerReference w:type="default" r:id="rId9"/>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Tahoma">
    <w:panose1 w:val="020B0604030504040204"/>
  </w:font>
  <w:font w:name="仿宋">
    <w:panose1 w:val="02010609060101010101"/>
  </w:font>
  <w:font w:name="等线">
    <w:panose1 w:val="02010600030101010101"/>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Calibri Light">
    <w:panose1 w:val="020F03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pPr>
    <w:r>
      <w:fldChar w:fldCharType="begin"/>
    </w:r>
    <w:r>
      <w:instrText xml:space="preserve">PAGE   \* MERGEFORMAT</w:instrText>
    </w:r>
    <w:r>
      <w:fldChar w:fldCharType="separate"/>
    </w:r>
    <w:r>
      <w:rPr>
        <w:lang w:val="zh-CN"/>
      </w:rPr>
      <w:t xml:space="preserve">72</w:t>
    </w:r>
    <w:r>
      <w:fldChar w:fldCharType="end"/>
    </w:r>
    <w:r/>
  </w:p>
  <w:p>
    <w:pPr>
      <w:pStyle w:val="7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420" w:hanging="420"/>
        <w:tabs>
          <w:tab w:val="left" w:pos="420" w:leader="none"/>
        </w:tabs>
      </w:pPr>
      <w:rPr>
        <w:b/>
      </w:rPr>
    </w:lvl>
    <w:lvl w:ilvl="1">
      <w:start w:val="2"/>
      <w:numFmt w:val="decimal"/>
      <w:isLgl w:val="false"/>
      <w:suff w:val="tab"/>
      <w:lvlText w:val="%2．"/>
      <w:lvlJc w:val="left"/>
      <w:pPr>
        <w:ind w:left="780" w:hanging="360"/>
        <w:tabs>
          <w:tab w:val="left" w:pos="780" w:leader="none"/>
        </w:tabs>
      </w:pPr>
    </w:lvl>
    <w:lvl w:ilvl="2">
      <w:start w:val="1"/>
      <w:numFmt w:val="decimal"/>
      <w:isLgl w:val="false"/>
      <w:suff w:val="tab"/>
      <w:lvlText w:val="（%3）"/>
      <w:lvlJc w:val="left"/>
      <w:pPr>
        <w:ind w:left="1560" w:hanging="720"/>
        <w:tabs>
          <w:tab w:val="left" w:pos="1560" w:leader="none"/>
        </w:tabs>
      </w:pPr>
      <w:rPr>
        <w:lang w:val="en-US"/>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pStyle w:val="967"/>
      <w:isLgl w:val="false"/>
      <w:suff w:val="tab"/>
      <w:lvlText w:val="%1、"/>
      <w:lvlJc w:val="left"/>
      <w:pPr>
        <w:ind w:left="0" w:firstLine="0"/>
      </w:pPr>
    </w:lvl>
    <w:lvl w:ilvl="1">
      <w:start w:val="1"/>
      <w:numFmt w:val="chineseCountingThousand"/>
      <w:isLgl w:val="false"/>
      <w:suff w:val="tab"/>
      <w:lvlText w:val="(%2)"/>
      <w:lvlJc w:val="left"/>
      <w:pPr>
        <w:ind w:left="0" w:firstLine="0"/>
      </w:pPr>
    </w:lvl>
    <w:lvl w:ilvl="2">
      <w:start w:val="1"/>
      <w:numFmt w:val="decimal"/>
      <w:isLgl w:val="false"/>
      <w:suff w:val="tab"/>
      <w:lvlText w:val="%3."/>
      <w:lvlJc w:val="left"/>
      <w:pPr>
        <w:ind w:left="709" w:firstLine="0"/>
      </w:pPr>
    </w:lvl>
    <w:lvl w:ilvl="3">
      <w:start w:val="1"/>
      <w:numFmt w:val="decimal"/>
      <w:isLgl w:val="false"/>
      <w:suff w:val="tab"/>
      <w:lvlText w:val="(%4)"/>
      <w:lvlJc w:val="left"/>
      <w:pPr>
        <w:ind w:left="0" w:firstLine="0"/>
      </w:pPr>
    </w:lvl>
    <w:lvl w:ilvl="4">
      <w:start w:val="1"/>
      <w:numFmt w:val="decimal"/>
      <w:isLgl w:val="false"/>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4">
    <w:multiLevelType w:val="hybridMultilevel"/>
    <w:lvl w:ilvl="0">
      <w:start w:val="1"/>
      <w:numFmt w:val="chineseCountingThousand"/>
      <w:isLgl w:val="false"/>
      <w:suff w:val="tab"/>
      <w:lvlText w:val="第%1章"/>
      <w:lvlJc w:val="left"/>
      <w:pPr>
        <w:ind w:left="0" w:firstLine="0"/>
        <w:tabs>
          <w:tab w:val="left" w:pos="1418" w:leader="none"/>
        </w:tabs>
      </w:pPr>
      <w:rPr>
        <w:rFonts w:cs="Times New Roman"/>
      </w:rPr>
    </w:lvl>
    <w:lvl w:ilvl="1">
      <w:start w:val="1"/>
      <w:numFmt w:val="decimal"/>
      <w:isLgl w:val="false"/>
      <w:suff w:val="space"/>
      <w:lvlText w:val="%1.%2"/>
      <w:lvlJc w:val="left"/>
      <w:pPr>
        <w:ind w:left="0" w:firstLine="0"/>
        <w:tabs>
          <w:tab w:val="left" w:pos="0" w:leader="none"/>
        </w:tabs>
      </w:pPr>
      <w:rPr>
        <w:rFonts w:cs="Times New Roman"/>
      </w:rPr>
    </w:lvl>
    <w:lvl w:ilvl="2">
      <w:start w:val="1"/>
      <w:numFmt w:val="decimal"/>
      <w:pStyle w:val="955"/>
      <w:isLgl w:val="false"/>
      <w:suff w:val="space"/>
      <w:lvlText w:val="%1.%2.%3"/>
      <w:lvlJc w:val="left"/>
      <w:pPr>
        <w:ind w:left="0" w:firstLine="0"/>
        <w:tabs>
          <w:tab w:val="left" w:pos="0" w:leader="none"/>
        </w:tabs>
      </w:pPr>
      <w:rPr>
        <w:rFonts w:cs="Times New Roman"/>
      </w:rPr>
    </w:lvl>
    <w:lvl w:ilvl="3">
      <w:start w:val="1"/>
      <w:numFmt w:val="decimal"/>
      <w:isLgl w:val="false"/>
      <w:suff w:val="space"/>
      <w:lvlText w:val="%1.%2.%3.%4"/>
      <w:lvlJc w:val="left"/>
      <w:pPr>
        <w:ind w:left="0" w:firstLine="0"/>
        <w:tabs>
          <w:tab w:val="left" w:pos="0" w:leader="none"/>
        </w:tabs>
      </w:pPr>
      <w:rPr>
        <w:rFonts w:ascii="Times New Roman" w:hAnsi="Times New Roman" w:cs="Times New Roman"/>
      </w:rPr>
    </w:lvl>
    <w:lvl w:ilvl="4">
      <w:start w:val="1"/>
      <w:numFmt w:val="decimal"/>
      <w:isLgl w:val="false"/>
      <w:suff w:val="nothing"/>
      <w:lvlText w:val="%1.%2.%3.%4.%5"/>
      <w:lvlJc w:val="left"/>
      <w:pPr>
        <w:ind w:left="0" w:firstLine="0"/>
        <w:tabs>
          <w:tab w:val="left" w:pos="0" w:leader="none"/>
        </w:tabs>
      </w:pPr>
      <w:rPr>
        <w:rFonts w:cs="Times New Roman"/>
      </w:rPr>
    </w:lvl>
    <w:lvl w:ilvl="5">
      <w:start w:val="1"/>
      <w:numFmt w:val="decimal"/>
      <w:isLgl w:val="false"/>
      <w:suff w:val="nothing"/>
      <w:lvlText w:val="%1.%2.%3.%4.%5.%6"/>
      <w:lvlJc w:val="left"/>
      <w:pPr>
        <w:ind w:left="0" w:firstLine="0"/>
        <w:tabs>
          <w:tab w:val="left" w:pos="0" w:leader="none"/>
        </w:tabs>
      </w:pPr>
      <w:rPr>
        <w:rFonts w:cs="Times New Roman"/>
      </w:rPr>
    </w:lvl>
    <w:lvl w:ilvl="6">
      <w:start w:val="1"/>
      <w:numFmt w:val="decimal"/>
      <w:isLgl w:val="false"/>
      <w:suff w:val="nothing"/>
      <w:lvlText w:val="%1.%2.%3.%4.%5.%6.%7"/>
      <w:lvlJc w:val="left"/>
      <w:pPr>
        <w:ind w:left="0" w:firstLine="0"/>
        <w:tabs>
          <w:tab w:val="left" w:pos="0" w:leader="none"/>
        </w:tabs>
      </w:pPr>
      <w:rPr>
        <w:rFonts w:cs="Times New Roman"/>
      </w:rPr>
    </w:lvl>
    <w:lvl w:ilvl="7">
      <w:start w:val="1"/>
      <w:numFmt w:val="decimal"/>
      <w:isLgl w:val="false"/>
      <w:suff w:val="nothing"/>
      <w:lvlText w:val="%1.%2.%3.%4.%5.%6.%7.%8"/>
      <w:lvlJc w:val="left"/>
      <w:pPr>
        <w:ind w:left="0" w:firstLine="0"/>
        <w:tabs>
          <w:tab w:val="left" w:pos="0" w:leader="none"/>
        </w:tabs>
      </w:pPr>
      <w:rPr>
        <w:rFonts w:cs="Times New Roman"/>
      </w:rPr>
    </w:lvl>
    <w:lvl w:ilvl="8">
      <w:start w:val="1"/>
      <w:numFmt w:val="decimal"/>
      <w:isLgl w:val="false"/>
      <w:suff w:val="nothing"/>
      <w:lvlText w:val="%1.%2.%3.%4.%5.%6.%7.%8.%9"/>
      <w:lvlJc w:val="left"/>
      <w:pPr>
        <w:ind w:left="0" w:firstLine="0"/>
        <w:tabs>
          <w:tab w:val="left" w:pos="0" w:leader="none"/>
        </w:tabs>
      </w:pPr>
      <w:rPr>
        <w:rFonts w:cs="Times New Roman"/>
      </w:rPr>
    </w:lvl>
  </w:abstractNum>
  <w:abstractNum w:abstractNumId="5">
    <w:multiLevelType w:val="hybridMultilevel"/>
    <w:lvl w:ilvl="0">
      <w:start w:val="1"/>
      <w:numFmt w:val="japaneseCounting"/>
      <w:isLgl w:val="false"/>
      <w:suff w:val="tab"/>
      <w:lvlText w:val="（%1）"/>
      <w:lvlJc w:val="left"/>
      <w:pPr>
        <w:ind w:left="1140" w:hanging="72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
    <w:multiLevelType w:val="hybridMultilevel"/>
    <w:lvl w:ilvl="0">
      <w:start w:val="1"/>
      <w:numFmt w:val="decimal"/>
      <w:isLgl w:val="false"/>
      <w:suff w:val="tab"/>
      <w:lvlText w:val="%1."/>
      <w:lvlJc w:val="left"/>
      <w:pPr>
        <w:ind w:left="425" w:hanging="425"/>
        <w:tabs>
          <w:tab w:val="left" w:pos="425" w:leader="none"/>
        </w:tabs>
      </w:pPr>
    </w:lvl>
    <w:lvl w:ilvl="1">
      <w:start w:val="1"/>
      <w:numFmt w:val="decimal"/>
      <w:isLgl w:val="false"/>
      <w:suff w:val="tab"/>
      <w:lvlText w:val="%1.%2."/>
      <w:lvlJc w:val="left"/>
      <w:pPr>
        <w:ind w:left="1134" w:hanging="567"/>
        <w:tabs>
          <w:tab w:val="left" w:pos="1134"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num w:numId="1">
    <w:abstractNumId w:val="4"/>
  </w:num>
  <w:num w:numId="2">
    <w:abstractNumId w:val="3"/>
  </w:num>
  <w:num w:numId="3">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6">
    <w:name w:val="Quote Char"/>
    <w:link w:val="757"/>
    <w:uiPriority w:val="29"/>
    <w:rPr>
      <w:i/>
    </w:rPr>
  </w:style>
  <w:style w:type="character" w:styleId="667">
    <w:name w:val="Intense Quote Char"/>
    <w:link w:val="759"/>
    <w:uiPriority w:val="30"/>
    <w:rPr>
      <w:i/>
    </w:rPr>
  </w:style>
  <w:style w:type="table" w:styleId="668">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9">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1">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2">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3">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4">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5">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6">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7">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8">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9">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0">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1">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2">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3">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4">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5">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6">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87">
    <w:name w:val="Footnote Text Char"/>
    <w:link w:val="725"/>
    <w:uiPriority w:val="99"/>
    <w:rPr>
      <w:sz w:val="18"/>
    </w:rPr>
  </w:style>
  <w:style w:type="character" w:styleId="688">
    <w:name w:val="Endnote Text Char"/>
    <w:link w:val="717"/>
    <w:uiPriority w:val="99"/>
    <w:rPr>
      <w:sz w:val="20"/>
    </w:rPr>
  </w:style>
  <w:style w:type="paragraph" w:styleId="689">
    <w:name w:val="TOC Heading"/>
    <w:uiPriority w:val="39"/>
    <w:unhideWhenUsed/>
  </w:style>
  <w:style w:type="paragraph" w:styleId="690" w:default="1">
    <w:name w:val="Normal"/>
    <w:next w:val="702"/>
    <w:uiPriority w:val="0"/>
    <w:qFormat/>
    <w:pPr>
      <w:jc w:val="both"/>
      <w:widowControl w:val="off"/>
    </w:pPr>
    <w:rPr>
      <w:rFonts w:ascii="Times New Roman" w:hAnsi="Times New Roman" w:eastAsia="楷体_GB2312" w:cs="Times New Roman"/>
      <w:sz w:val="28"/>
      <w:lang w:val="en-US" w:eastAsia="zh-CN" w:bidi="ar-SA"/>
    </w:rPr>
  </w:style>
  <w:style w:type="paragraph" w:styleId="691">
    <w:name w:val="Heading 1"/>
    <w:basedOn w:val="690"/>
    <w:next w:val="690"/>
    <w:link w:val="893"/>
    <w:uiPriority w:val="0"/>
    <w:qFormat/>
    <w:pPr>
      <w:keepLines/>
      <w:keepNext/>
      <w:spacing w:before="340" w:after="330" w:line="576" w:lineRule="auto"/>
      <w:outlineLvl w:val="0"/>
    </w:pPr>
    <w:rPr>
      <w:b/>
      <w:bCs/>
      <w:sz w:val="44"/>
      <w:szCs w:val="44"/>
    </w:rPr>
  </w:style>
  <w:style w:type="paragraph" w:styleId="692">
    <w:name w:val="Heading 2"/>
    <w:basedOn w:val="690"/>
    <w:next w:val="690"/>
    <w:link w:val="894"/>
    <w:uiPriority w:val="0"/>
    <w:qFormat/>
    <w:pPr>
      <w:jc w:val="center"/>
      <w:keepLines/>
      <w:keepNext/>
      <w:outlineLvl w:val="1"/>
    </w:pPr>
    <w:rPr>
      <w:rFonts w:ascii="宋体" w:hAnsi="宋体" w:cs="宋体"/>
      <w:b/>
      <w:sz w:val="44"/>
    </w:rPr>
  </w:style>
  <w:style w:type="paragraph" w:styleId="693">
    <w:name w:val="Heading 3"/>
    <w:basedOn w:val="690"/>
    <w:next w:val="690"/>
    <w:link w:val="895"/>
    <w:uiPriority w:val="0"/>
    <w:qFormat/>
    <w:pPr>
      <w:jc w:val="center"/>
      <w:keepLines/>
      <w:keepNext/>
      <w:outlineLvl w:val="2"/>
    </w:pPr>
    <w:rPr>
      <w:b/>
      <w:sz w:val="32"/>
    </w:rPr>
  </w:style>
  <w:style w:type="paragraph" w:styleId="694">
    <w:name w:val="Heading 4"/>
    <w:basedOn w:val="690"/>
    <w:next w:val="690"/>
    <w:link w:val="896"/>
    <w:uiPriority w:val="0"/>
    <w:qFormat/>
    <w:pPr>
      <w:keepLines/>
      <w:keepNext/>
      <w:spacing w:before="280" w:after="290" w:line="374" w:lineRule="auto"/>
      <w:outlineLvl w:val="3"/>
    </w:pPr>
    <w:rPr>
      <w:rFonts w:ascii="Calibri Light" w:hAnsi="Calibri Light" w:eastAsia="宋体"/>
      <w:b/>
      <w:bCs/>
      <w:szCs w:val="28"/>
    </w:rPr>
  </w:style>
  <w:style w:type="paragraph" w:styleId="695">
    <w:name w:val="Heading 5"/>
    <w:basedOn w:val="690"/>
    <w:next w:val="690"/>
    <w:link w:val="897"/>
    <w:uiPriority w:val="0"/>
    <w:qFormat/>
    <w:pPr>
      <w:keepNext/>
      <w:outlineLvl w:val="4"/>
    </w:pPr>
    <w:rPr>
      <w:rFonts w:ascii="宋体" w:hAnsi="宋体" w:eastAsia="宋体" w:cs="宋体"/>
      <w:color w:val="000000"/>
    </w:rPr>
  </w:style>
  <w:style w:type="paragraph" w:styleId="696">
    <w:name w:val="Heading 6"/>
    <w:basedOn w:val="690"/>
    <w:next w:val="690"/>
    <w:link w:val="898"/>
    <w:uiPriority w:val="0"/>
    <w:qFormat/>
    <w:pPr>
      <w:keepNext/>
      <w:outlineLvl w:val="5"/>
    </w:pPr>
    <w:rPr>
      <w:rFonts w:ascii="宋体" w:hAnsi="宋体" w:eastAsia="宋体" w:cs="宋体"/>
    </w:rPr>
  </w:style>
  <w:style w:type="paragraph" w:styleId="697">
    <w:name w:val="Heading 7"/>
    <w:basedOn w:val="690"/>
    <w:next w:val="690"/>
    <w:link w:val="899"/>
    <w:uiPriority w:val="99"/>
    <w:qFormat/>
    <w:pPr>
      <w:keepLines/>
      <w:keepNext/>
      <w:spacing w:before="240" w:after="64" w:line="316" w:lineRule="auto"/>
      <w:outlineLvl w:val="6"/>
    </w:pPr>
    <w:rPr>
      <w:rFonts w:ascii="Calibri" w:hAnsi="Calibri" w:eastAsia="宋体"/>
      <w:b/>
      <w:sz w:val="24"/>
    </w:rPr>
  </w:style>
  <w:style w:type="paragraph" w:styleId="698">
    <w:name w:val="Heading 8"/>
    <w:basedOn w:val="690"/>
    <w:next w:val="690"/>
    <w:link w:val="900"/>
    <w:uiPriority w:val="99"/>
    <w:qFormat/>
    <w:pPr>
      <w:keepLines/>
      <w:keepNext/>
      <w:spacing w:before="240" w:after="64" w:line="316" w:lineRule="auto"/>
      <w:outlineLvl w:val="7"/>
    </w:pPr>
    <w:rPr>
      <w:rFonts w:ascii="Arial" w:hAnsi="Arial" w:eastAsia="黑体"/>
      <w:sz w:val="24"/>
    </w:rPr>
  </w:style>
  <w:style w:type="paragraph" w:styleId="699">
    <w:name w:val="Heading 9"/>
    <w:basedOn w:val="690"/>
    <w:next w:val="690"/>
    <w:link w:val="901"/>
    <w:uiPriority w:val="99"/>
    <w:qFormat/>
    <w:pPr>
      <w:keepLines/>
      <w:keepNext/>
      <w:spacing w:before="240" w:after="64" w:line="316" w:lineRule="auto"/>
      <w:outlineLvl w:val="8"/>
    </w:pPr>
    <w:rPr>
      <w:rFonts w:ascii="Arial" w:hAnsi="Arial" w:eastAsia="黑体"/>
      <w:sz w:val="20"/>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Body Text"/>
    <w:basedOn w:val="690"/>
    <w:link w:val="892"/>
    <w:uiPriority w:val="99"/>
    <w:unhideWhenUsed/>
    <w:qFormat/>
    <w:pPr>
      <w:spacing w:after="120"/>
    </w:pPr>
  </w:style>
  <w:style w:type="paragraph" w:styleId="703">
    <w:name w:val="List 3"/>
    <w:basedOn w:val="690"/>
    <w:uiPriority w:val="99"/>
    <w:unhideWhenUsed/>
    <w:qFormat/>
    <w:pPr>
      <w:ind w:left="100" w:hanging="200"/>
    </w:pPr>
    <w:rPr>
      <w:sz w:val="26"/>
    </w:rPr>
  </w:style>
  <w:style w:type="paragraph" w:styleId="704">
    <w:name w:val="toc 7"/>
    <w:basedOn w:val="690"/>
    <w:next w:val="690"/>
    <w:uiPriority w:val="39"/>
    <w:unhideWhenUsed/>
    <w:qFormat/>
    <w:pPr>
      <w:ind w:left="1701"/>
      <w:spacing w:after="57"/>
    </w:pPr>
  </w:style>
  <w:style w:type="paragraph" w:styleId="705">
    <w:name w:val="Normal Indent"/>
    <w:basedOn w:val="690"/>
    <w:next w:val="690"/>
    <w:link w:val="902"/>
    <w:uiPriority w:val="0"/>
    <w:unhideWhenUsed/>
    <w:qFormat/>
    <w:pPr>
      <w:ind w:firstLine="420"/>
      <w:jc w:val="left"/>
    </w:pPr>
    <w:rPr>
      <w:sz w:val="24"/>
      <w:szCs w:val="22"/>
    </w:rPr>
  </w:style>
  <w:style w:type="paragraph" w:styleId="706">
    <w:name w:val="Caption"/>
    <w:basedOn w:val="690"/>
    <w:next w:val="690"/>
    <w:uiPriority w:val="35"/>
    <w:semiHidden/>
    <w:unhideWhenUsed/>
    <w:qFormat/>
    <w:pPr>
      <w:spacing w:line="276" w:lineRule="auto"/>
    </w:pPr>
    <w:rPr>
      <w:b/>
      <w:bCs/>
      <w:color w:val="4f81bd"/>
      <w:sz w:val="18"/>
      <w:szCs w:val="18"/>
    </w:rPr>
  </w:style>
  <w:style w:type="paragraph" w:styleId="707">
    <w:name w:val="Document Map"/>
    <w:basedOn w:val="690"/>
    <w:link w:val="903"/>
    <w:uiPriority w:val="99"/>
    <w:unhideWhenUsed/>
    <w:qFormat/>
    <w:pPr>
      <w:shd w:val="clear" w:color="auto" w:fill="000080"/>
    </w:pPr>
  </w:style>
  <w:style w:type="paragraph" w:styleId="708">
    <w:name w:val="annotation text"/>
    <w:basedOn w:val="690"/>
    <w:link w:val="904"/>
    <w:uiPriority w:val="99"/>
    <w:unhideWhenUsed/>
    <w:qFormat/>
    <w:pPr>
      <w:jc w:val="left"/>
    </w:pPr>
  </w:style>
  <w:style w:type="paragraph" w:styleId="709">
    <w:name w:val="Body Text Indent"/>
    <w:basedOn w:val="690"/>
    <w:next w:val="690"/>
    <w:link w:val="905"/>
    <w:uiPriority w:val="99"/>
    <w:unhideWhenUsed/>
    <w:qFormat/>
    <w:pPr>
      <w:ind w:left="420"/>
      <w:spacing w:after="120"/>
    </w:pPr>
  </w:style>
  <w:style w:type="paragraph" w:styleId="710">
    <w:name w:val="List 2"/>
    <w:basedOn w:val="690"/>
    <w:uiPriority w:val="99"/>
    <w:unhideWhenUsed/>
    <w:qFormat/>
    <w:pPr>
      <w:ind w:left="100" w:hanging="200"/>
    </w:pPr>
    <w:rPr>
      <w:rFonts w:eastAsia="宋体"/>
      <w:sz w:val="21"/>
      <w:szCs w:val="24"/>
    </w:rPr>
  </w:style>
  <w:style w:type="paragraph" w:styleId="711">
    <w:name w:val="toc 5"/>
    <w:basedOn w:val="690"/>
    <w:next w:val="690"/>
    <w:uiPriority w:val="39"/>
    <w:unhideWhenUsed/>
    <w:qFormat/>
    <w:pPr>
      <w:ind w:left="1134"/>
      <w:spacing w:after="57"/>
    </w:pPr>
  </w:style>
  <w:style w:type="paragraph" w:styleId="712">
    <w:name w:val="toc 3"/>
    <w:basedOn w:val="690"/>
    <w:next w:val="690"/>
    <w:uiPriority w:val="39"/>
    <w:unhideWhenUsed/>
    <w:qFormat/>
    <w:pPr>
      <w:ind w:left="567"/>
      <w:spacing w:after="57"/>
    </w:pPr>
  </w:style>
  <w:style w:type="paragraph" w:styleId="713">
    <w:name w:val="Plain Text"/>
    <w:basedOn w:val="690"/>
    <w:link w:val="906"/>
    <w:uiPriority w:val="0"/>
    <w:unhideWhenUsed/>
    <w:qFormat/>
    <w:rPr>
      <w:rFonts w:ascii="宋体" w:hAnsi="Courier New"/>
    </w:rPr>
  </w:style>
  <w:style w:type="paragraph" w:styleId="714">
    <w:name w:val="toc 8"/>
    <w:basedOn w:val="690"/>
    <w:next w:val="690"/>
    <w:uiPriority w:val="39"/>
    <w:unhideWhenUsed/>
    <w:qFormat/>
    <w:pPr>
      <w:ind w:left="1984"/>
      <w:spacing w:after="57"/>
    </w:pPr>
  </w:style>
  <w:style w:type="paragraph" w:styleId="715">
    <w:name w:val="Date"/>
    <w:basedOn w:val="690"/>
    <w:next w:val="690"/>
    <w:link w:val="907"/>
    <w:uiPriority w:val="99"/>
    <w:unhideWhenUsed/>
    <w:qFormat/>
    <w:rPr>
      <w:rFonts w:ascii="宋体" w:hAnsi="宋体"/>
      <w:sz w:val="24"/>
    </w:rPr>
  </w:style>
  <w:style w:type="paragraph" w:styleId="716">
    <w:name w:val="Body Text Indent 2"/>
    <w:basedOn w:val="690"/>
    <w:link w:val="908"/>
    <w:uiPriority w:val="99"/>
    <w:unhideWhenUsed/>
    <w:qFormat/>
    <w:pPr>
      <w:ind w:left="420"/>
      <w:spacing w:after="120" w:line="480" w:lineRule="auto"/>
    </w:pPr>
  </w:style>
  <w:style w:type="paragraph" w:styleId="717">
    <w:name w:val="endnote text"/>
    <w:basedOn w:val="690"/>
    <w:link w:val="890"/>
    <w:uiPriority w:val="99"/>
    <w:semiHidden/>
    <w:unhideWhenUsed/>
    <w:qFormat/>
    <w:rPr>
      <w:sz w:val="20"/>
    </w:rPr>
  </w:style>
  <w:style w:type="paragraph" w:styleId="718">
    <w:name w:val="Balloon Text"/>
    <w:basedOn w:val="690"/>
    <w:link w:val="909"/>
    <w:uiPriority w:val="99"/>
    <w:unhideWhenUsed/>
    <w:qFormat/>
    <w:rPr>
      <w:rFonts w:ascii="Calibri" w:hAnsi="Calibri" w:eastAsia="宋体"/>
      <w:sz w:val="18"/>
      <w:szCs w:val="18"/>
    </w:rPr>
  </w:style>
  <w:style w:type="paragraph" w:styleId="719">
    <w:name w:val="Footer"/>
    <w:basedOn w:val="690"/>
    <w:link w:val="910"/>
    <w:uiPriority w:val="99"/>
    <w:unhideWhenUsed/>
    <w:qFormat/>
    <w:pPr>
      <w:jc w:val="left"/>
      <w:tabs>
        <w:tab w:val="center" w:pos="4153" w:leader="none"/>
        <w:tab w:val="right" w:pos="8306" w:leader="none"/>
      </w:tabs>
    </w:pPr>
    <w:rPr>
      <w:sz w:val="18"/>
      <w:szCs w:val="18"/>
    </w:rPr>
  </w:style>
  <w:style w:type="paragraph" w:styleId="720">
    <w:name w:val="envelope return"/>
    <w:basedOn w:val="690"/>
    <w:uiPriority w:val="99"/>
    <w:unhideWhenUsed/>
    <w:qFormat/>
    <w:rPr>
      <w:rFonts w:ascii="Arial" w:hAnsi="Arial"/>
      <w:sz w:val="26"/>
    </w:rPr>
  </w:style>
  <w:style w:type="paragraph" w:styleId="721">
    <w:name w:val="Header"/>
    <w:basedOn w:val="690"/>
    <w:link w:val="91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22">
    <w:name w:val="toc 1"/>
    <w:basedOn w:val="690"/>
    <w:next w:val="690"/>
    <w:uiPriority w:val="39"/>
    <w:unhideWhenUsed/>
    <w:qFormat/>
    <w:pPr>
      <w:spacing w:line="360" w:lineRule="auto"/>
      <w:tabs>
        <w:tab w:val="right" w:pos="9006" w:leader="dot"/>
      </w:tabs>
    </w:pPr>
    <w:rPr>
      <w:rFonts w:ascii="宋体" w:hAnsi="宋体"/>
      <w:color w:val="000000"/>
      <w:sz w:val="24"/>
      <w:szCs w:val="24"/>
    </w:rPr>
  </w:style>
  <w:style w:type="paragraph" w:styleId="723">
    <w:name w:val="toc 4"/>
    <w:basedOn w:val="690"/>
    <w:next w:val="690"/>
    <w:uiPriority w:val="99"/>
    <w:unhideWhenUsed/>
    <w:qFormat/>
    <w:pPr>
      <w:ind w:left="1260"/>
    </w:pPr>
  </w:style>
  <w:style w:type="paragraph" w:styleId="724">
    <w:name w:val="Subtitle"/>
    <w:basedOn w:val="690"/>
    <w:next w:val="690"/>
    <w:link w:val="912"/>
    <w:uiPriority w:val="99"/>
    <w:qFormat/>
    <w:pPr>
      <w:jc w:val="center"/>
      <w:spacing w:before="240" w:after="60" w:line="312" w:lineRule="auto"/>
      <w:outlineLvl w:val="1"/>
    </w:pPr>
    <w:rPr>
      <w:rFonts w:ascii="Cambria" w:hAnsi="Cambria" w:eastAsia="宋体"/>
      <w:b/>
      <w:bCs/>
      <w:sz w:val="32"/>
      <w:szCs w:val="32"/>
    </w:rPr>
  </w:style>
  <w:style w:type="paragraph" w:styleId="725">
    <w:name w:val="footnote text"/>
    <w:basedOn w:val="690"/>
    <w:link w:val="889"/>
    <w:uiPriority w:val="99"/>
    <w:semiHidden/>
    <w:unhideWhenUsed/>
    <w:qFormat/>
    <w:pPr>
      <w:spacing w:after="40"/>
    </w:pPr>
    <w:rPr>
      <w:sz w:val="18"/>
    </w:rPr>
  </w:style>
  <w:style w:type="paragraph" w:styleId="726">
    <w:name w:val="toc 6"/>
    <w:basedOn w:val="690"/>
    <w:next w:val="690"/>
    <w:uiPriority w:val="39"/>
    <w:unhideWhenUsed/>
    <w:qFormat/>
    <w:pPr>
      <w:ind w:left="1417"/>
      <w:spacing w:after="57"/>
    </w:pPr>
  </w:style>
  <w:style w:type="paragraph" w:styleId="727">
    <w:name w:val="Body Text Indent 3"/>
    <w:basedOn w:val="690"/>
    <w:link w:val="913"/>
    <w:uiPriority w:val="99"/>
    <w:unhideWhenUsed/>
    <w:qFormat/>
    <w:pPr>
      <w:ind w:left="420"/>
      <w:spacing w:after="120"/>
    </w:pPr>
    <w:rPr>
      <w:sz w:val="16"/>
      <w:szCs w:val="16"/>
    </w:rPr>
  </w:style>
  <w:style w:type="paragraph" w:styleId="728">
    <w:name w:val="table of figures"/>
    <w:basedOn w:val="690"/>
    <w:next w:val="690"/>
    <w:uiPriority w:val="99"/>
    <w:unhideWhenUsed/>
    <w:qFormat/>
  </w:style>
  <w:style w:type="paragraph" w:styleId="729">
    <w:name w:val="toc 2"/>
    <w:basedOn w:val="690"/>
    <w:next w:val="690"/>
    <w:uiPriority w:val="39"/>
    <w:unhideWhenUsed/>
    <w:qFormat/>
    <w:pPr>
      <w:ind w:left="420"/>
    </w:pPr>
  </w:style>
  <w:style w:type="paragraph" w:styleId="730">
    <w:name w:val="toc 9"/>
    <w:basedOn w:val="690"/>
    <w:next w:val="690"/>
    <w:uiPriority w:val="99"/>
    <w:unhideWhenUsed/>
    <w:qFormat/>
    <w:pPr>
      <w:ind w:left="3360"/>
    </w:pPr>
  </w:style>
  <w:style w:type="paragraph" w:styleId="731">
    <w:name w:val="Body Text 2"/>
    <w:basedOn w:val="690"/>
    <w:link w:val="914"/>
    <w:uiPriority w:val="99"/>
    <w:unhideWhenUsed/>
    <w:qFormat/>
    <w:pPr>
      <w:spacing w:after="120" w:line="480" w:lineRule="auto"/>
    </w:pPr>
    <w:rPr>
      <w:rFonts w:ascii="Calibri" w:hAnsi="Calibri" w:eastAsia="宋体"/>
      <w:sz w:val="21"/>
      <w:szCs w:val="22"/>
    </w:rPr>
  </w:style>
  <w:style w:type="paragraph" w:styleId="732">
    <w:name w:val="HTML Preformatted"/>
    <w:basedOn w:val="690"/>
    <w:link w:val="915"/>
    <w:uiPriority w:val="0"/>
    <w:unhideWhenUsed/>
    <w:qFormat/>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733">
    <w:name w:val="Normal (Web)"/>
    <w:basedOn w:val="690"/>
    <w:uiPriority w:val="0"/>
    <w:unhideWhenUsed/>
    <w:qFormat/>
    <w:pPr>
      <w:jc w:val="left"/>
      <w:spacing w:before="100" w:beforeAutospacing="1" w:after="100" w:afterAutospacing="1"/>
      <w:widowControl/>
    </w:pPr>
    <w:rPr>
      <w:rFonts w:ascii="宋体" w:hAnsi="宋体" w:eastAsia="宋体"/>
      <w:sz w:val="24"/>
      <w:szCs w:val="24"/>
    </w:rPr>
  </w:style>
  <w:style w:type="paragraph" w:styleId="734">
    <w:name w:val="index 1"/>
    <w:basedOn w:val="690"/>
    <w:next w:val="690"/>
    <w:uiPriority w:val="99"/>
    <w:unhideWhenUsed/>
    <w:qFormat/>
  </w:style>
  <w:style w:type="paragraph" w:styleId="735">
    <w:name w:val="Title"/>
    <w:basedOn w:val="690"/>
    <w:next w:val="690"/>
    <w:link w:val="916"/>
    <w:uiPriority w:val="99"/>
    <w:qFormat/>
    <w:pPr>
      <w:jc w:val="center"/>
      <w:spacing w:before="240" w:after="60"/>
      <w:outlineLvl w:val="0"/>
    </w:pPr>
    <w:rPr>
      <w:rFonts w:ascii="Cambria" w:hAnsi="Cambria" w:eastAsia="宋体"/>
      <w:b/>
      <w:bCs/>
      <w:sz w:val="32"/>
      <w:szCs w:val="32"/>
    </w:rPr>
  </w:style>
  <w:style w:type="paragraph" w:styleId="736">
    <w:name w:val="annotation subject"/>
    <w:basedOn w:val="708"/>
    <w:next w:val="708"/>
    <w:link w:val="917"/>
    <w:uiPriority w:val="99"/>
    <w:unhideWhenUsed/>
    <w:qFormat/>
    <w:rPr>
      <w:b/>
      <w:bCs/>
    </w:rPr>
  </w:style>
  <w:style w:type="paragraph" w:styleId="737">
    <w:name w:val="Body Text First Indent"/>
    <w:basedOn w:val="702"/>
    <w:link w:val="918"/>
    <w:uiPriority w:val="99"/>
    <w:unhideWhenUsed/>
    <w:qFormat/>
    <w:pPr>
      <w:ind w:firstLine="420"/>
      <w:jc w:val="left"/>
      <w:spacing w:after="0" w:line="360" w:lineRule="auto"/>
      <w:widowControl/>
    </w:pPr>
    <w:rPr>
      <w:rFonts w:ascii="宋体" w:hAnsi="宋体" w:eastAsia="宋体"/>
      <w:sz w:val="21"/>
      <w:szCs w:val="24"/>
    </w:rPr>
  </w:style>
  <w:style w:type="paragraph" w:styleId="738">
    <w:name w:val="Body Text First Indent 2"/>
    <w:basedOn w:val="709"/>
    <w:link w:val="919"/>
    <w:uiPriority w:val="99"/>
    <w:unhideWhenUsed/>
    <w:qFormat/>
    <w:pPr>
      <w:ind w:firstLine="420"/>
    </w:pPr>
    <w:rPr>
      <w:rFonts w:hAnsi="宋体"/>
    </w:rPr>
  </w:style>
  <w:style w:type="table" w:styleId="739">
    <w:name w:val="Table Grid"/>
    <w:basedOn w:val="7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0">
    <w:name w:val="endnote reference"/>
    <w:uiPriority w:val="99"/>
    <w:semiHidden/>
    <w:unhideWhenUsed/>
    <w:qFormat/>
    <w:rPr>
      <w:vertAlign w:val="superscript"/>
    </w:rPr>
  </w:style>
  <w:style w:type="character" w:styleId="741">
    <w:name w:val="Hyperlink"/>
    <w:uiPriority w:val="99"/>
    <w:unhideWhenUsed/>
    <w:qFormat/>
    <w:rPr>
      <w:color w:val="0000ff"/>
      <w:u w:val="single"/>
    </w:rPr>
  </w:style>
  <w:style w:type="character" w:styleId="742">
    <w:name w:val="annotation reference"/>
    <w:uiPriority w:val="99"/>
    <w:unhideWhenUsed/>
    <w:qFormat/>
    <w:rPr>
      <w:sz w:val="21"/>
      <w:szCs w:val="21"/>
    </w:rPr>
  </w:style>
  <w:style w:type="character" w:styleId="743">
    <w:name w:val="footnote reference"/>
    <w:uiPriority w:val="0"/>
    <w:unhideWhenUsed/>
    <w:qFormat/>
    <w:rPr>
      <w:vertAlign w:val="superscript"/>
    </w:rPr>
  </w:style>
  <w:style w:type="character" w:styleId="744" w:customStyle="1">
    <w:name w:val="Heading 1 Char"/>
    <w:uiPriority w:val="9"/>
    <w:qFormat/>
    <w:rPr>
      <w:rFonts w:ascii="Arial" w:hAnsi="Arial" w:eastAsia="Arial" w:cs="Arial"/>
      <w:sz w:val="40"/>
      <w:szCs w:val="40"/>
    </w:rPr>
  </w:style>
  <w:style w:type="character" w:styleId="745" w:customStyle="1">
    <w:name w:val="Heading 2 Char"/>
    <w:uiPriority w:val="9"/>
    <w:rPr>
      <w:rFonts w:ascii="Arial" w:hAnsi="Arial" w:eastAsia="Arial" w:cs="Arial"/>
      <w:sz w:val="34"/>
    </w:rPr>
  </w:style>
  <w:style w:type="character" w:styleId="746" w:customStyle="1">
    <w:name w:val="Heading 3 Char"/>
    <w:uiPriority w:val="9"/>
    <w:qFormat/>
    <w:rPr>
      <w:rFonts w:ascii="Arial" w:hAnsi="Arial" w:eastAsia="Arial" w:cs="Arial"/>
      <w:sz w:val="30"/>
      <w:szCs w:val="30"/>
    </w:rPr>
  </w:style>
  <w:style w:type="character" w:styleId="747" w:customStyle="1">
    <w:name w:val="Heading 4 Char"/>
    <w:uiPriority w:val="9"/>
    <w:qFormat/>
    <w:rPr>
      <w:rFonts w:ascii="Arial" w:hAnsi="Arial" w:eastAsia="Arial" w:cs="Arial"/>
      <w:b/>
      <w:bCs/>
      <w:sz w:val="26"/>
      <w:szCs w:val="26"/>
    </w:rPr>
  </w:style>
  <w:style w:type="character" w:styleId="748" w:customStyle="1">
    <w:name w:val="Heading 5 Char"/>
    <w:uiPriority w:val="9"/>
    <w:qFormat/>
    <w:rPr>
      <w:rFonts w:ascii="Arial" w:hAnsi="Arial" w:eastAsia="Arial" w:cs="Arial"/>
      <w:b/>
      <w:bCs/>
      <w:sz w:val="24"/>
      <w:szCs w:val="24"/>
    </w:rPr>
  </w:style>
  <w:style w:type="character" w:styleId="749" w:customStyle="1">
    <w:name w:val="Heading 6 Char"/>
    <w:uiPriority w:val="9"/>
    <w:qFormat/>
    <w:rPr>
      <w:rFonts w:ascii="Arial" w:hAnsi="Arial" w:eastAsia="Arial" w:cs="Arial"/>
      <w:b/>
      <w:bCs/>
      <w:sz w:val="22"/>
      <w:szCs w:val="22"/>
    </w:rPr>
  </w:style>
  <w:style w:type="character" w:styleId="750" w:customStyle="1">
    <w:name w:val="Heading 7 Char"/>
    <w:uiPriority w:val="9"/>
    <w:qFormat/>
    <w:rPr>
      <w:rFonts w:ascii="Arial" w:hAnsi="Arial" w:eastAsia="Arial" w:cs="Arial"/>
      <w:b/>
      <w:bCs/>
      <w:i/>
      <w:iCs/>
      <w:sz w:val="22"/>
      <w:szCs w:val="22"/>
    </w:rPr>
  </w:style>
  <w:style w:type="character" w:styleId="751" w:customStyle="1">
    <w:name w:val="Heading 8 Char"/>
    <w:uiPriority w:val="9"/>
    <w:qFormat/>
    <w:rPr>
      <w:rFonts w:ascii="Arial" w:hAnsi="Arial" w:eastAsia="Arial" w:cs="Arial"/>
      <w:i/>
      <w:iCs/>
      <w:sz w:val="22"/>
      <w:szCs w:val="22"/>
    </w:rPr>
  </w:style>
  <w:style w:type="character" w:styleId="752" w:customStyle="1">
    <w:name w:val="Heading 9 Char"/>
    <w:uiPriority w:val="9"/>
    <w:rPr>
      <w:rFonts w:ascii="Arial" w:hAnsi="Arial" w:eastAsia="Arial" w:cs="Arial"/>
      <w:i/>
      <w:iCs/>
      <w:sz w:val="21"/>
      <w:szCs w:val="21"/>
    </w:rPr>
  </w:style>
  <w:style w:type="paragraph" w:styleId="753">
    <w:name w:val="List Paragraph"/>
    <w:basedOn w:val="690"/>
    <w:link w:val="923"/>
    <w:uiPriority w:val="34"/>
    <w:qFormat/>
    <w:pPr>
      <w:ind w:firstLine="420"/>
    </w:pPr>
    <w:rPr>
      <w:rFonts w:ascii="等线" w:hAnsi="等线" w:eastAsia="等线"/>
      <w:sz w:val="21"/>
      <w:szCs w:val="22"/>
    </w:rPr>
  </w:style>
  <w:style w:type="paragraph" w:styleId="754">
    <w:name w:val="No Spacing"/>
    <w:uiPriority w:val="1"/>
    <w:qFormat/>
    <w:rPr>
      <w:rFonts w:ascii="Times New Roman" w:hAnsi="Times New Roman" w:eastAsia="宋体" w:cs="Times New Roman"/>
      <w:lang w:val="en-US" w:eastAsia="zh-CN" w:bidi="ar-SA"/>
    </w:rPr>
  </w:style>
  <w:style w:type="character" w:styleId="755" w:customStyle="1">
    <w:name w:val="Title Char"/>
    <w:uiPriority w:val="10"/>
    <w:qFormat/>
    <w:rPr>
      <w:sz w:val="48"/>
      <w:szCs w:val="48"/>
    </w:rPr>
  </w:style>
  <w:style w:type="character" w:styleId="756" w:customStyle="1">
    <w:name w:val="Subtitle Char"/>
    <w:uiPriority w:val="11"/>
    <w:qFormat/>
    <w:rPr>
      <w:sz w:val="24"/>
      <w:szCs w:val="24"/>
    </w:rPr>
  </w:style>
  <w:style w:type="paragraph" w:styleId="757">
    <w:name w:val="Quote"/>
    <w:basedOn w:val="690"/>
    <w:next w:val="690"/>
    <w:link w:val="758"/>
    <w:uiPriority w:val="29"/>
    <w:qFormat/>
    <w:pPr>
      <w:ind w:left="720" w:right="720"/>
    </w:pPr>
    <w:rPr>
      <w:i/>
    </w:rPr>
  </w:style>
  <w:style w:type="character" w:styleId="758" w:customStyle="1">
    <w:name w:val="引用 字符"/>
    <w:link w:val="757"/>
    <w:uiPriority w:val="29"/>
    <w:qFormat/>
    <w:rPr>
      <w:i/>
    </w:rPr>
  </w:style>
  <w:style w:type="paragraph" w:styleId="759">
    <w:name w:val="Intense Quote"/>
    <w:basedOn w:val="690"/>
    <w:next w:val="690"/>
    <w:link w:val="7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明显引用 字符"/>
    <w:link w:val="759"/>
    <w:uiPriority w:val="30"/>
    <w:qFormat/>
    <w:rPr>
      <w:i/>
    </w:rPr>
  </w:style>
  <w:style w:type="character" w:styleId="761" w:customStyle="1">
    <w:name w:val="Header Char"/>
    <w:uiPriority w:val="99"/>
    <w:qFormat/>
  </w:style>
  <w:style w:type="character" w:styleId="762" w:customStyle="1">
    <w:name w:val="Footer Char"/>
    <w:uiPriority w:val="99"/>
    <w:qFormat/>
  </w:style>
  <w:style w:type="character" w:styleId="763" w:customStyle="1">
    <w:name w:val="Caption Char"/>
    <w:uiPriority w:val="99"/>
    <w:qFormat/>
  </w:style>
  <w:style w:type="table" w:styleId="76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67" w:customStyle="1">
    <w:name w:val="无格式表格 31"/>
    <w:uiPriority w:val="99"/>
    <w:qFormat/>
    <w:tblPr>
      <w:tblCellMar>
        <w:left w:w="0" w:type="dxa"/>
        <w:top w:w="0" w:type="dxa"/>
        <w:right w:w="0" w:type="dxa"/>
        <w:bottom w:w="0" w:type="dxa"/>
      </w:tblCellMar>
    </w:tblPr>
  </w:style>
  <w:style w:type="table" w:styleId="768" w:customStyle="1">
    <w:name w:val="无格式表格 41"/>
    <w:uiPriority w:val="99"/>
    <w:qFormat/>
    <w:tblPr>
      <w:tblCellMar>
        <w:left w:w="0" w:type="dxa"/>
        <w:top w:w="0" w:type="dxa"/>
        <w:right w:w="0" w:type="dxa"/>
        <w:bottom w:w="0" w:type="dxa"/>
      </w:tblCellMar>
    </w:tblPr>
  </w:style>
  <w:style w:type="table" w:styleId="769" w:customStyle="1">
    <w:name w:val="无格式表格 51"/>
    <w:uiPriority w:val="99"/>
    <w:qFormat/>
    <w:tblPr>
      <w:tblCellMar>
        <w:left w:w="0" w:type="dxa"/>
        <w:top w:w="0" w:type="dxa"/>
        <w:right w:w="0" w:type="dxa"/>
        <w:bottom w:w="0" w:type="dxa"/>
      </w:tblCellMar>
    </w:tblPr>
  </w:style>
  <w:style w:type="table" w:styleId="77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7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7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7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7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7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7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7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9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9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9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9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9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9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9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9" w:customStyle="1">
    <w:name w:val="清单表 1 浅色1"/>
    <w:uiPriority w:val="99"/>
    <w:qFormat/>
    <w:tblPr>
      <w:tblCellMar>
        <w:left w:w="0" w:type="dxa"/>
        <w:top w:w="0" w:type="dxa"/>
        <w:right w:w="0" w:type="dxa"/>
        <w:bottom w:w="0" w:type="dxa"/>
      </w:tblCellMar>
    </w:tblPr>
  </w:style>
  <w:style w:type="table" w:styleId="820" w:customStyle="1">
    <w:name w:val="List Table 1 Light - Accent 1"/>
    <w:uiPriority w:val="99"/>
    <w:qFormat/>
    <w:tblPr>
      <w:tblCellMar>
        <w:left w:w="0" w:type="dxa"/>
        <w:top w:w="0" w:type="dxa"/>
        <w:right w:w="0" w:type="dxa"/>
        <w:bottom w:w="0" w:type="dxa"/>
      </w:tblCellMar>
    </w:tblPr>
  </w:style>
  <w:style w:type="table" w:styleId="821" w:customStyle="1">
    <w:name w:val="List Table 1 Light - Accent 2"/>
    <w:uiPriority w:val="99"/>
    <w:qFormat/>
    <w:tblPr>
      <w:tblCellMar>
        <w:left w:w="0" w:type="dxa"/>
        <w:top w:w="0" w:type="dxa"/>
        <w:right w:w="0" w:type="dxa"/>
        <w:bottom w:w="0" w:type="dxa"/>
      </w:tblCellMar>
    </w:tblPr>
  </w:style>
  <w:style w:type="table" w:styleId="822" w:customStyle="1">
    <w:name w:val="List Table 1 Light - Accent 3"/>
    <w:uiPriority w:val="99"/>
    <w:qFormat/>
    <w:tblPr>
      <w:tblCellMar>
        <w:left w:w="0" w:type="dxa"/>
        <w:top w:w="0" w:type="dxa"/>
        <w:right w:w="0" w:type="dxa"/>
        <w:bottom w:w="0" w:type="dxa"/>
      </w:tblCellMar>
    </w:tblPr>
  </w:style>
  <w:style w:type="table" w:styleId="823" w:customStyle="1">
    <w:name w:val="List Table 1 Light - Accent 4"/>
    <w:uiPriority w:val="99"/>
    <w:qFormat/>
    <w:tblPr>
      <w:tblCellMar>
        <w:left w:w="0" w:type="dxa"/>
        <w:top w:w="0" w:type="dxa"/>
        <w:right w:w="0" w:type="dxa"/>
        <w:bottom w:w="0" w:type="dxa"/>
      </w:tblCellMar>
    </w:tblPr>
  </w:style>
  <w:style w:type="table" w:styleId="824" w:customStyle="1">
    <w:name w:val="List Table 1 Light - Accent 5"/>
    <w:uiPriority w:val="99"/>
    <w:qFormat/>
    <w:tblPr>
      <w:tblCellMar>
        <w:left w:w="0" w:type="dxa"/>
        <w:top w:w="0" w:type="dxa"/>
        <w:right w:w="0" w:type="dxa"/>
        <w:bottom w:w="0" w:type="dxa"/>
      </w:tblCellMar>
    </w:tblPr>
  </w:style>
  <w:style w:type="table" w:styleId="825" w:customStyle="1">
    <w:name w:val="List Table 1 Light - Accent 6"/>
    <w:uiPriority w:val="99"/>
    <w:qFormat/>
    <w:tblPr>
      <w:tblCellMar>
        <w:left w:w="0" w:type="dxa"/>
        <w:top w:w="0" w:type="dxa"/>
        <w:right w:w="0" w:type="dxa"/>
        <w:bottom w:w="0" w:type="dxa"/>
      </w:tblCellMar>
    </w:tblPr>
  </w:style>
  <w:style w:type="table" w:styleId="82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2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2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2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3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3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3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3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3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3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3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3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3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4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4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4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4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4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4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4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4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4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5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5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5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5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5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5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5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5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5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5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6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6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6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6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6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6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6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6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68" w:customStyle="1">
    <w:name w:val="Lined - Accent"/>
    <w:uiPriority w:val="99"/>
    <w:qFormat/>
    <w:rPr>
      <w:color w:val="404040"/>
    </w:rPr>
    <w:tblPr>
      <w:tblCellMar>
        <w:left w:w="0" w:type="dxa"/>
        <w:top w:w="0" w:type="dxa"/>
        <w:right w:w="0" w:type="dxa"/>
        <w:bottom w:w="0" w:type="dxa"/>
      </w:tblCellMar>
    </w:tblPr>
  </w:style>
  <w:style w:type="table" w:styleId="869" w:customStyle="1">
    <w:name w:val="Lined - Accent 1"/>
    <w:uiPriority w:val="99"/>
    <w:qFormat/>
    <w:rPr>
      <w:color w:val="404040"/>
    </w:rPr>
    <w:tblPr>
      <w:tblCellMar>
        <w:left w:w="0" w:type="dxa"/>
        <w:top w:w="0" w:type="dxa"/>
        <w:right w:w="0" w:type="dxa"/>
        <w:bottom w:w="0" w:type="dxa"/>
      </w:tblCellMar>
    </w:tblPr>
  </w:style>
  <w:style w:type="table" w:styleId="870" w:customStyle="1">
    <w:name w:val="Lined - Accent 2"/>
    <w:uiPriority w:val="99"/>
    <w:qFormat/>
    <w:rPr>
      <w:color w:val="404040"/>
    </w:rPr>
    <w:tblPr>
      <w:tblCellMar>
        <w:left w:w="0" w:type="dxa"/>
        <w:top w:w="0" w:type="dxa"/>
        <w:right w:w="0" w:type="dxa"/>
        <w:bottom w:w="0" w:type="dxa"/>
      </w:tblCellMar>
    </w:tblPr>
  </w:style>
  <w:style w:type="table" w:styleId="871" w:customStyle="1">
    <w:name w:val="Lined - Accent 3"/>
    <w:uiPriority w:val="99"/>
    <w:qFormat/>
    <w:rPr>
      <w:color w:val="404040"/>
    </w:rPr>
    <w:tblPr>
      <w:tblCellMar>
        <w:left w:w="0" w:type="dxa"/>
        <w:top w:w="0" w:type="dxa"/>
        <w:right w:w="0" w:type="dxa"/>
        <w:bottom w:w="0" w:type="dxa"/>
      </w:tblCellMar>
    </w:tblPr>
  </w:style>
  <w:style w:type="table" w:styleId="872" w:customStyle="1">
    <w:name w:val="Lined - Accent 4"/>
    <w:uiPriority w:val="99"/>
    <w:qFormat/>
    <w:rPr>
      <w:color w:val="404040"/>
    </w:rPr>
    <w:tblPr>
      <w:tblCellMar>
        <w:left w:w="0" w:type="dxa"/>
        <w:top w:w="0" w:type="dxa"/>
        <w:right w:w="0" w:type="dxa"/>
        <w:bottom w:w="0" w:type="dxa"/>
      </w:tblCellMar>
    </w:tblPr>
  </w:style>
  <w:style w:type="table" w:styleId="873" w:customStyle="1">
    <w:name w:val="Lined - Accent 5"/>
    <w:uiPriority w:val="99"/>
    <w:qFormat/>
    <w:rPr>
      <w:color w:val="404040"/>
    </w:rPr>
    <w:tblPr>
      <w:tblCellMar>
        <w:left w:w="0" w:type="dxa"/>
        <w:top w:w="0" w:type="dxa"/>
        <w:right w:w="0" w:type="dxa"/>
        <w:bottom w:w="0" w:type="dxa"/>
      </w:tblCellMar>
    </w:tblPr>
  </w:style>
  <w:style w:type="table" w:styleId="874" w:customStyle="1">
    <w:name w:val="Lined - Accent 6"/>
    <w:uiPriority w:val="99"/>
    <w:qFormat/>
    <w:rPr>
      <w:color w:val="404040"/>
    </w:rPr>
    <w:tblPr>
      <w:tblCellMar>
        <w:left w:w="0" w:type="dxa"/>
        <w:top w:w="0" w:type="dxa"/>
        <w:right w:w="0" w:type="dxa"/>
        <w:bottom w:w="0" w:type="dxa"/>
      </w:tblCellMar>
    </w:tblPr>
  </w:style>
  <w:style w:type="table" w:styleId="87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7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7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7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7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8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8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8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89" w:customStyle="1">
    <w:name w:val="脚注文本 字符"/>
    <w:link w:val="725"/>
    <w:uiPriority w:val="99"/>
    <w:qFormat/>
    <w:rPr>
      <w:sz w:val="18"/>
    </w:rPr>
  </w:style>
  <w:style w:type="character" w:styleId="890" w:customStyle="1">
    <w:name w:val="尾注文本 字符"/>
    <w:link w:val="717"/>
    <w:uiPriority w:val="99"/>
    <w:qFormat/>
    <w:rPr>
      <w:sz w:val="20"/>
    </w:rPr>
  </w:style>
  <w:style w:type="paragraph" w:styleId="891" w:customStyle="1">
    <w:name w:val="TOC 标题1"/>
    <w:uiPriority w:val="39"/>
    <w:unhideWhenUsed/>
    <w:qFormat/>
    <w:rPr>
      <w:rFonts w:ascii="Times New Roman" w:hAnsi="Times New Roman" w:eastAsia="宋体" w:cs="Times New Roman"/>
      <w:lang w:val="en-US" w:eastAsia="zh-CN" w:bidi="ar-SA"/>
    </w:rPr>
  </w:style>
  <w:style w:type="character" w:styleId="892" w:customStyle="1">
    <w:name w:val="正文文本 字符"/>
    <w:link w:val="702"/>
    <w:uiPriority w:val="99"/>
    <w:qFormat/>
    <w:rPr>
      <w:rFonts w:ascii="Times New Roman" w:hAnsi="Times New Roman" w:eastAsia="楷体_GB2312" w:cs="Times New Roman"/>
      <w:sz w:val="28"/>
      <w:szCs w:val="20"/>
    </w:rPr>
  </w:style>
  <w:style w:type="character" w:styleId="893" w:customStyle="1">
    <w:name w:val="标题 1 字符"/>
    <w:link w:val="691"/>
    <w:uiPriority w:val="0"/>
    <w:qFormat/>
    <w:rPr>
      <w:rFonts w:ascii="Times New Roman" w:hAnsi="Times New Roman" w:eastAsia="楷体_GB2312" w:cs="Times New Roman"/>
      <w:b/>
      <w:bCs/>
      <w:sz w:val="44"/>
      <w:szCs w:val="44"/>
    </w:rPr>
  </w:style>
  <w:style w:type="character" w:styleId="894" w:customStyle="1">
    <w:name w:val="标题 2 字符"/>
    <w:link w:val="692"/>
    <w:uiPriority w:val="0"/>
    <w:semiHidden/>
    <w:qFormat/>
    <w:rPr>
      <w:rFonts w:ascii="宋体" w:hAnsi="宋体" w:eastAsia="楷体_GB2312" w:cs="宋体"/>
      <w:b/>
      <w:sz w:val="44"/>
      <w:szCs w:val="20"/>
    </w:rPr>
  </w:style>
  <w:style w:type="character" w:styleId="895" w:customStyle="1">
    <w:name w:val="标题 3 字符"/>
    <w:link w:val="693"/>
    <w:uiPriority w:val="0"/>
    <w:semiHidden/>
    <w:qFormat/>
    <w:rPr>
      <w:rFonts w:ascii="Times New Roman" w:hAnsi="Times New Roman" w:eastAsia="楷体_GB2312" w:cs="Times New Roman"/>
      <w:b/>
      <w:sz w:val="32"/>
      <w:szCs w:val="20"/>
    </w:rPr>
  </w:style>
  <w:style w:type="character" w:styleId="896" w:customStyle="1">
    <w:name w:val="标题 4 字符"/>
    <w:link w:val="694"/>
    <w:uiPriority w:val="0"/>
    <w:semiHidden/>
    <w:qFormat/>
    <w:rPr>
      <w:rFonts w:ascii="Calibri Light" w:hAnsi="Calibri Light" w:eastAsia="宋体" w:cs="Times New Roman"/>
      <w:b/>
      <w:bCs/>
      <w:sz w:val="28"/>
      <w:szCs w:val="28"/>
    </w:rPr>
  </w:style>
  <w:style w:type="character" w:styleId="897" w:customStyle="1">
    <w:name w:val="标题 5 字符"/>
    <w:link w:val="695"/>
    <w:uiPriority w:val="0"/>
    <w:semiHidden/>
    <w:qFormat/>
    <w:rPr>
      <w:rFonts w:ascii="宋体" w:hAnsi="宋体" w:eastAsia="宋体" w:cs="宋体"/>
      <w:color w:val="000000"/>
      <w:sz w:val="28"/>
      <w:szCs w:val="20"/>
    </w:rPr>
  </w:style>
  <w:style w:type="character" w:styleId="898" w:customStyle="1">
    <w:name w:val="标题 6 字符"/>
    <w:link w:val="696"/>
    <w:uiPriority w:val="0"/>
    <w:semiHidden/>
    <w:qFormat/>
    <w:rPr>
      <w:rFonts w:ascii="宋体" w:hAnsi="宋体" w:eastAsia="宋体" w:cs="宋体"/>
      <w:sz w:val="28"/>
      <w:szCs w:val="20"/>
    </w:rPr>
  </w:style>
  <w:style w:type="character" w:styleId="899" w:customStyle="1">
    <w:name w:val="标题 7 字符"/>
    <w:link w:val="697"/>
    <w:uiPriority w:val="99"/>
    <w:semiHidden/>
    <w:qFormat/>
    <w:rPr>
      <w:rFonts w:ascii="Calibri" w:hAnsi="Calibri" w:eastAsia="宋体" w:cs="Times New Roman"/>
      <w:b/>
      <w:sz w:val="24"/>
      <w:szCs w:val="20"/>
    </w:rPr>
  </w:style>
  <w:style w:type="character" w:styleId="900" w:customStyle="1">
    <w:name w:val="标题 8 字符"/>
    <w:link w:val="698"/>
    <w:uiPriority w:val="99"/>
    <w:semiHidden/>
    <w:qFormat/>
    <w:rPr>
      <w:rFonts w:ascii="Arial" w:hAnsi="Arial" w:eastAsia="黑体" w:cs="Times New Roman"/>
      <w:sz w:val="24"/>
      <w:szCs w:val="20"/>
    </w:rPr>
  </w:style>
  <w:style w:type="character" w:styleId="901" w:customStyle="1">
    <w:name w:val="标题 9 字符"/>
    <w:link w:val="699"/>
    <w:uiPriority w:val="99"/>
    <w:semiHidden/>
    <w:qFormat/>
    <w:rPr>
      <w:rFonts w:ascii="Arial" w:hAnsi="Arial" w:eastAsia="黑体" w:cs="Times New Roman"/>
      <w:sz w:val="20"/>
      <w:szCs w:val="20"/>
    </w:rPr>
  </w:style>
  <w:style w:type="character" w:styleId="902" w:customStyle="1">
    <w:name w:val="正文缩进 字符"/>
    <w:link w:val="705"/>
    <w:uiPriority w:val="0"/>
    <w:semiHidden/>
    <w:qFormat/>
    <w:rPr>
      <w:rFonts w:ascii="Times New Roman" w:hAnsi="Times New Roman" w:eastAsia="楷体_GB2312" w:cs="Times New Roman"/>
      <w:sz w:val="24"/>
    </w:rPr>
  </w:style>
  <w:style w:type="character" w:styleId="903" w:customStyle="1">
    <w:name w:val="文档结构图 字符"/>
    <w:link w:val="707"/>
    <w:uiPriority w:val="99"/>
    <w:semiHidden/>
    <w:qFormat/>
    <w:rPr>
      <w:rFonts w:ascii="Times New Roman" w:hAnsi="Times New Roman" w:eastAsia="楷体_GB2312" w:cs="Times New Roman"/>
      <w:sz w:val="28"/>
      <w:szCs w:val="20"/>
      <w:shd w:val="clear" w:color="auto" w:fill="000080"/>
    </w:rPr>
  </w:style>
  <w:style w:type="character" w:styleId="904" w:customStyle="1">
    <w:name w:val="批注文字 字符"/>
    <w:link w:val="708"/>
    <w:uiPriority w:val="99"/>
    <w:semiHidden/>
    <w:qFormat/>
    <w:rPr>
      <w:rFonts w:ascii="Times New Roman" w:hAnsi="Times New Roman" w:eastAsia="楷体_GB2312" w:cs="Times New Roman"/>
      <w:sz w:val="28"/>
      <w:szCs w:val="20"/>
    </w:rPr>
  </w:style>
  <w:style w:type="character" w:styleId="905" w:customStyle="1">
    <w:name w:val="正文文本缩进 字符"/>
    <w:link w:val="709"/>
    <w:uiPriority w:val="99"/>
    <w:semiHidden/>
    <w:qFormat/>
    <w:rPr>
      <w:rFonts w:ascii="Times New Roman" w:hAnsi="Times New Roman" w:eastAsia="楷体_GB2312" w:cs="Times New Roman"/>
      <w:sz w:val="28"/>
      <w:szCs w:val="20"/>
    </w:rPr>
  </w:style>
  <w:style w:type="character" w:styleId="906" w:customStyle="1">
    <w:name w:val="纯文本 字符1"/>
    <w:link w:val="713"/>
    <w:uiPriority w:val="99"/>
    <w:semiHidden/>
    <w:qFormat/>
    <w:rPr>
      <w:rFonts w:ascii="宋体" w:hAnsi="Courier New" w:eastAsia="楷体_GB2312" w:cs="Times New Roman"/>
      <w:sz w:val="28"/>
      <w:szCs w:val="20"/>
    </w:rPr>
  </w:style>
  <w:style w:type="character" w:styleId="907" w:customStyle="1">
    <w:name w:val="日期 字符"/>
    <w:link w:val="715"/>
    <w:uiPriority w:val="99"/>
    <w:semiHidden/>
    <w:qFormat/>
    <w:rPr>
      <w:rFonts w:ascii="宋体" w:hAnsi="宋体" w:eastAsia="楷体_GB2312" w:cs="Times New Roman"/>
      <w:sz w:val="24"/>
      <w:szCs w:val="20"/>
    </w:rPr>
  </w:style>
  <w:style w:type="character" w:styleId="908" w:customStyle="1">
    <w:name w:val="正文文本缩进 2 字符"/>
    <w:link w:val="716"/>
    <w:uiPriority w:val="99"/>
    <w:semiHidden/>
    <w:qFormat/>
    <w:rPr>
      <w:rFonts w:ascii="Times New Roman" w:hAnsi="Times New Roman" w:eastAsia="楷体_GB2312" w:cs="Times New Roman"/>
      <w:sz w:val="28"/>
      <w:szCs w:val="20"/>
    </w:rPr>
  </w:style>
  <w:style w:type="character" w:styleId="909" w:customStyle="1">
    <w:name w:val="批注框文本 字符"/>
    <w:link w:val="718"/>
    <w:uiPriority w:val="99"/>
    <w:semiHidden/>
    <w:qFormat/>
    <w:rPr>
      <w:rFonts w:ascii="Calibri" w:hAnsi="Calibri" w:eastAsia="宋体" w:cs="Times New Roman"/>
      <w:sz w:val="18"/>
      <w:szCs w:val="18"/>
    </w:rPr>
  </w:style>
  <w:style w:type="character" w:styleId="910" w:customStyle="1">
    <w:name w:val="页脚 字符"/>
    <w:link w:val="719"/>
    <w:uiPriority w:val="99"/>
    <w:qFormat/>
    <w:rPr>
      <w:rFonts w:ascii="Times New Roman" w:hAnsi="Times New Roman" w:eastAsia="楷体_GB2312" w:cs="Times New Roman"/>
      <w:sz w:val="18"/>
      <w:szCs w:val="18"/>
    </w:rPr>
  </w:style>
  <w:style w:type="character" w:styleId="911" w:customStyle="1">
    <w:name w:val="页眉 字符"/>
    <w:link w:val="721"/>
    <w:uiPriority w:val="99"/>
    <w:qFormat/>
    <w:rPr>
      <w:rFonts w:ascii="Times New Roman" w:hAnsi="Times New Roman" w:eastAsia="楷体_GB2312" w:cs="Times New Roman"/>
      <w:sz w:val="18"/>
      <w:szCs w:val="18"/>
    </w:rPr>
  </w:style>
  <w:style w:type="character" w:styleId="912" w:customStyle="1">
    <w:name w:val="副标题 字符"/>
    <w:link w:val="724"/>
    <w:uiPriority w:val="99"/>
    <w:qFormat/>
    <w:rPr>
      <w:rFonts w:ascii="Cambria" w:hAnsi="Cambria" w:eastAsia="宋体" w:cs="Times New Roman"/>
      <w:b/>
      <w:bCs/>
      <w:sz w:val="32"/>
      <w:szCs w:val="32"/>
    </w:rPr>
  </w:style>
  <w:style w:type="character" w:styleId="913" w:customStyle="1">
    <w:name w:val="正文文本缩进 3 字符"/>
    <w:link w:val="727"/>
    <w:uiPriority w:val="99"/>
    <w:semiHidden/>
    <w:qFormat/>
    <w:rPr>
      <w:rFonts w:ascii="Times New Roman" w:hAnsi="Times New Roman" w:eastAsia="楷体_GB2312" w:cs="Times New Roman"/>
      <w:sz w:val="16"/>
      <w:szCs w:val="16"/>
    </w:rPr>
  </w:style>
  <w:style w:type="character" w:styleId="914" w:customStyle="1">
    <w:name w:val="正文文本 2 字符"/>
    <w:link w:val="731"/>
    <w:uiPriority w:val="99"/>
    <w:semiHidden/>
    <w:qFormat/>
    <w:rPr>
      <w:rFonts w:ascii="Calibri" w:hAnsi="Calibri" w:eastAsia="宋体" w:cs="Times New Roman"/>
    </w:rPr>
  </w:style>
  <w:style w:type="character" w:styleId="915" w:customStyle="1">
    <w:name w:val="HTML 预设格式 字符"/>
    <w:link w:val="732"/>
    <w:uiPriority w:val="0"/>
    <w:semiHidden/>
    <w:qFormat/>
    <w:rPr>
      <w:rFonts w:ascii="黑体" w:hAnsi="Courier New" w:eastAsia="黑体" w:cs="Times New Roman"/>
      <w:sz w:val="20"/>
      <w:szCs w:val="20"/>
    </w:rPr>
  </w:style>
  <w:style w:type="character" w:styleId="916" w:customStyle="1">
    <w:name w:val="标题 字符"/>
    <w:link w:val="735"/>
    <w:uiPriority w:val="99"/>
    <w:qFormat/>
    <w:rPr>
      <w:rFonts w:ascii="Cambria" w:hAnsi="Cambria" w:eastAsia="宋体" w:cs="Times New Roman"/>
      <w:b/>
      <w:bCs/>
      <w:sz w:val="32"/>
      <w:szCs w:val="32"/>
    </w:rPr>
  </w:style>
  <w:style w:type="character" w:styleId="917" w:customStyle="1">
    <w:name w:val="批注主题 字符"/>
    <w:link w:val="736"/>
    <w:uiPriority w:val="99"/>
    <w:semiHidden/>
    <w:qFormat/>
    <w:rPr>
      <w:rFonts w:ascii="Times New Roman" w:hAnsi="Times New Roman" w:eastAsia="楷体_GB2312" w:cs="Times New Roman"/>
      <w:b/>
      <w:bCs/>
      <w:sz w:val="28"/>
      <w:szCs w:val="20"/>
    </w:rPr>
  </w:style>
  <w:style w:type="character" w:styleId="918" w:customStyle="1">
    <w:name w:val="正文首行缩进 字符"/>
    <w:link w:val="737"/>
    <w:uiPriority w:val="99"/>
    <w:semiHidden/>
    <w:qFormat/>
    <w:rPr>
      <w:rFonts w:ascii="宋体" w:hAnsi="宋体" w:eastAsia="宋体" w:cs="Times New Roman"/>
      <w:sz w:val="28"/>
      <w:szCs w:val="24"/>
    </w:rPr>
  </w:style>
  <w:style w:type="character" w:styleId="919" w:customStyle="1">
    <w:name w:val="正文首行缩进 2 字符"/>
    <w:link w:val="738"/>
    <w:uiPriority w:val="99"/>
    <w:semiHidden/>
    <w:qFormat/>
    <w:rPr>
      <w:rFonts w:ascii="Times New Roman" w:hAnsi="宋体" w:eastAsia="楷体_GB2312" w:cs="Times New Roman"/>
      <w:sz w:val="28"/>
      <w:szCs w:val="20"/>
    </w:rPr>
  </w:style>
  <w:style w:type="character" w:styleId="920" w:customStyle="1">
    <w:name w:val="已访问的超链接1"/>
    <w:uiPriority w:val="99"/>
    <w:unhideWhenUsed/>
    <w:qFormat/>
    <w:rPr>
      <w:color w:val="800080"/>
      <w:u w:val="single"/>
    </w:rPr>
  </w:style>
  <w:style w:type="paragraph" w:styleId="921" w:customStyle="1">
    <w:name w:val="msonormal"/>
    <w:basedOn w:val="690"/>
    <w:uiPriority w:val="99"/>
    <w:qFormat/>
    <w:pPr>
      <w:jc w:val="left"/>
      <w:spacing w:before="100" w:beforeAutospacing="1" w:after="100" w:afterAutospacing="1"/>
      <w:widowControl/>
    </w:pPr>
    <w:rPr>
      <w:rFonts w:ascii="宋体" w:hAnsi="宋体" w:eastAsia="宋体" w:cs="宋体"/>
      <w:sz w:val="24"/>
      <w:szCs w:val="24"/>
    </w:rPr>
  </w:style>
  <w:style w:type="character" w:styleId="922" w:customStyle="1">
    <w:name w:val="纯文本 字符"/>
    <w:uiPriority w:val="0"/>
    <w:semiHidden/>
    <w:qFormat/>
    <w:rPr>
      <w:rFonts w:ascii="等线" w:hAnsi="Courier New" w:cs="Courier New"/>
      <w:sz w:val="28"/>
      <w:szCs w:val="20"/>
    </w:rPr>
  </w:style>
  <w:style w:type="character" w:styleId="923" w:customStyle="1">
    <w:name w:val="列出段落 字符"/>
    <w:link w:val="753"/>
    <w:uiPriority w:val="34"/>
    <w:qFormat/>
  </w:style>
  <w:style w:type="character" w:styleId="924" w:customStyle="1">
    <w:name w:val="List Paragraph Char"/>
    <w:link w:val="925"/>
    <w:uiPriority w:val="0"/>
    <w:qFormat/>
  </w:style>
  <w:style w:type="paragraph" w:styleId="925" w:customStyle="1">
    <w:name w:val="列出段落1"/>
    <w:basedOn w:val="690"/>
    <w:link w:val="924"/>
    <w:uiPriority w:val="0"/>
    <w:qFormat/>
    <w:pPr>
      <w:ind w:firstLine="200"/>
    </w:pPr>
    <w:rPr>
      <w:rFonts w:ascii="等线" w:hAnsi="等线" w:eastAsia="等线"/>
      <w:sz w:val="21"/>
      <w:szCs w:val="22"/>
    </w:rPr>
  </w:style>
  <w:style w:type="character" w:styleId="926" w:customStyle="1">
    <w:name w:val="Andy_3级 Char"/>
    <w:link w:val="927"/>
    <w:uiPriority w:val="0"/>
    <w:qFormat/>
    <w:rPr>
      <w:sz w:val="24"/>
    </w:rPr>
  </w:style>
  <w:style w:type="paragraph" w:styleId="927" w:customStyle="1">
    <w:name w:val="Andy_3级"/>
    <w:basedOn w:val="690"/>
    <w:link w:val="926"/>
    <w:uiPriority w:val="0"/>
    <w:qFormat/>
    <w:pPr>
      <w:ind w:left="1260" w:hanging="420"/>
      <w:spacing w:line="360" w:lineRule="auto"/>
      <w:tabs>
        <w:tab w:val="left" w:pos="1260" w:leader="none"/>
      </w:tabs>
    </w:pPr>
    <w:rPr>
      <w:rFonts w:ascii="等线" w:hAnsi="等线" w:eastAsia="等线"/>
      <w:sz w:val="24"/>
      <w:szCs w:val="22"/>
    </w:rPr>
  </w:style>
  <w:style w:type="character" w:styleId="928" w:customStyle="1">
    <w:name w:val="文章正文 字符"/>
    <w:link w:val="929"/>
    <w:uiPriority w:val="0"/>
    <w:qFormat/>
    <w:rPr>
      <w:rFonts w:ascii="Times New Roman" w:hAnsi="Times New Roman" w:cs="Times New Roman"/>
      <w:sz w:val="24"/>
    </w:rPr>
  </w:style>
  <w:style w:type="paragraph" w:styleId="929" w:customStyle="1">
    <w:name w:val="文章正文"/>
    <w:basedOn w:val="690"/>
    <w:link w:val="928"/>
    <w:uiPriority w:val="0"/>
    <w:qFormat/>
    <w:pPr>
      <w:ind w:firstLine="560"/>
      <w:jc w:val="left"/>
      <w:spacing w:line="360" w:lineRule="auto"/>
      <w:widowControl/>
    </w:pPr>
    <w:rPr>
      <w:rFonts w:eastAsia="等线"/>
      <w:sz w:val="24"/>
      <w:szCs w:val="22"/>
    </w:rPr>
  </w:style>
  <w:style w:type="character" w:styleId="930" w:customStyle="1">
    <w:name w:val="样式6 Char"/>
    <w:link w:val="931"/>
    <w:uiPriority w:val="0"/>
    <w:qFormat/>
    <w:rPr>
      <w:rFonts w:ascii="宋体" w:hAnsi="宋体" w:eastAsia="宋体" w:cs="宋体"/>
      <w:sz w:val="28"/>
      <w:szCs w:val="28"/>
    </w:rPr>
  </w:style>
  <w:style w:type="paragraph" w:styleId="931" w:customStyle="1">
    <w:name w:val="样式6"/>
    <w:basedOn w:val="690"/>
    <w:link w:val="930"/>
    <w:uiPriority w:val="0"/>
    <w:qFormat/>
    <w:pPr>
      <w:ind w:left="980" w:hanging="420"/>
      <w:spacing w:line="360" w:lineRule="auto"/>
    </w:pPr>
    <w:rPr>
      <w:rFonts w:ascii="宋体" w:hAnsi="宋体" w:eastAsia="宋体" w:cs="宋体"/>
      <w:szCs w:val="28"/>
    </w:rPr>
  </w:style>
  <w:style w:type="character" w:styleId="932" w:customStyle="1">
    <w:name w:val="Andy_正文 Char"/>
    <w:link w:val="933"/>
    <w:uiPriority w:val="0"/>
    <w:qFormat/>
    <w:rPr>
      <w:sz w:val="24"/>
      <w:szCs w:val="24"/>
    </w:rPr>
  </w:style>
  <w:style w:type="paragraph" w:styleId="933" w:customStyle="1">
    <w:name w:val="Andy_正文"/>
    <w:basedOn w:val="690"/>
    <w:link w:val="932"/>
    <w:uiPriority w:val="0"/>
    <w:qFormat/>
    <w:pPr>
      <w:ind w:firstLine="480"/>
      <w:spacing w:line="360" w:lineRule="auto"/>
    </w:pPr>
    <w:rPr>
      <w:rFonts w:ascii="等线" w:hAnsi="等线" w:eastAsia="等线"/>
      <w:sz w:val="24"/>
      <w:szCs w:val="24"/>
    </w:rPr>
  </w:style>
  <w:style w:type="character" w:styleId="934" w:customStyle="1">
    <w:name w:val="03 正文 Char"/>
    <w:link w:val="935"/>
    <w:uiPriority w:val="0"/>
    <w:qFormat/>
    <w:rPr>
      <w:rFonts w:ascii="Times New Roman" w:hAnsi="Times New Roman" w:cs="Times New Roman"/>
    </w:rPr>
  </w:style>
  <w:style w:type="paragraph" w:styleId="935" w:customStyle="1">
    <w:name w:val="03 正文"/>
    <w:basedOn w:val="690"/>
    <w:link w:val="934"/>
    <w:uiPriority w:val="0"/>
    <w:qFormat/>
    <w:pPr>
      <w:ind w:firstLine="420"/>
      <w:spacing w:line="500" w:lineRule="atLeast"/>
      <w:widowControl/>
    </w:pPr>
    <w:rPr>
      <w:rFonts w:eastAsia="等线"/>
      <w:sz w:val="21"/>
      <w:szCs w:val="22"/>
    </w:rPr>
  </w:style>
  <w:style w:type="character" w:styleId="936" w:customStyle="1">
    <w:name w:val="01 章标 Char"/>
    <w:link w:val="937"/>
    <w:uiPriority w:val="0"/>
    <w:qFormat/>
    <w:rPr>
      <w:b/>
      <w:sz w:val="44"/>
      <w:szCs w:val="44"/>
    </w:rPr>
  </w:style>
  <w:style w:type="paragraph" w:styleId="937" w:customStyle="1">
    <w:name w:val="01 章标"/>
    <w:basedOn w:val="690"/>
    <w:link w:val="936"/>
    <w:uiPriority w:val="0"/>
    <w:qFormat/>
    <w:pPr>
      <w:ind w:firstLine="883"/>
      <w:jc w:val="center"/>
      <w:outlineLvl w:val="0"/>
    </w:pPr>
    <w:rPr>
      <w:rFonts w:ascii="等线" w:hAnsi="等线" w:eastAsia="等线"/>
      <w:b/>
      <w:sz w:val="44"/>
      <w:szCs w:val="44"/>
    </w:rPr>
  </w:style>
  <w:style w:type="character" w:styleId="938" w:customStyle="1">
    <w:name w:val="Plain Text Char Char"/>
    <w:link w:val="939"/>
    <w:uiPriority w:val="0"/>
    <w:qFormat/>
    <w:rPr>
      <w:rFonts w:ascii="宋体" w:hAnsi="Courier New" w:eastAsia="楷体_GB2312"/>
      <w:sz w:val="28"/>
    </w:rPr>
  </w:style>
  <w:style w:type="paragraph" w:styleId="939" w:customStyle="1">
    <w:name w:val="纯文本1"/>
    <w:basedOn w:val="690"/>
    <w:link w:val="938"/>
    <w:uiPriority w:val="0"/>
    <w:qFormat/>
    <w:rPr>
      <w:rFonts w:ascii="宋体" w:hAnsi="Courier New"/>
      <w:szCs w:val="22"/>
    </w:rPr>
  </w:style>
  <w:style w:type="character" w:styleId="940" w:customStyle="1">
    <w:name w:val="列出段落 Char"/>
    <w:link w:val="941"/>
    <w:uiPriority w:val="34"/>
    <w:qFormat/>
  </w:style>
  <w:style w:type="paragraph" w:styleId="941" w:customStyle="1">
    <w:name w:val="列出段落21"/>
    <w:basedOn w:val="690"/>
    <w:link w:val="940"/>
    <w:uiPriority w:val="34"/>
    <w:qFormat/>
    <w:pPr>
      <w:ind w:firstLine="420"/>
    </w:pPr>
    <w:rPr>
      <w:rFonts w:ascii="等线" w:hAnsi="等线" w:eastAsia="等线"/>
      <w:sz w:val="21"/>
      <w:szCs w:val="22"/>
    </w:rPr>
  </w:style>
  <w:style w:type="character" w:styleId="942" w:customStyle="1">
    <w:name w:val="Andy_2级 Char"/>
    <w:link w:val="943"/>
    <w:uiPriority w:val="0"/>
    <w:qFormat/>
    <w:rPr>
      <w:sz w:val="24"/>
    </w:rPr>
  </w:style>
  <w:style w:type="paragraph" w:styleId="943" w:customStyle="1">
    <w:name w:val="Andy_2级"/>
    <w:basedOn w:val="690"/>
    <w:link w:val="942"/>
    <w:uiPriority w:val="0"/>
    <w:qFormat/>
    <w:pPr>
      <w:ind w:left="840" w:hanging="420"/>
      <w:spacing w:line="360" w:lineRule="auto"/>
      <w:tabs>
        <w:tab w:val="left" w:pos="840" w:leader="none"/>
      </w:tabs>
    </w:pPr>
    <w:rPr>
      <w:rFonts w:ascii="等线" w:hAnsi="等线" w:eastAsia="等线"/>
      <w:sz w:val="24"/>
      <w:szCs w:val="22"/>
    </w:rPr>
  </w:style>
  <w:style w:type="character" w:styleId="944" w:customStyle="1">
    <w:name w:val="Plain Text Char1"/>
    <w:link w:val="945"/>
    <w:uiPriority w:val="0"/>
    <w:qFormat/>
    <w:rPr>
      <w:rFonts w:ascii="宋体" w:hAnsi="Courier New" w:eastAsia="楷体_GB2312"/>
      <w:sz w:val="26"/>
    </w:rPr>
  </w:style>
  <w:style w:type="paragraph" w:styleId="945" w:customStyle="1">
    <w:name w:val="纯文本112"/>
    <w:basedOn w:val="690"/>
    <w:link w:val="944"/>
    <w:uiPriority w:val="0"/>
    <w:qFormat/>
    <w:rPr>
      <w:rFonts w:ascii="宋体" w:hAnsi="Courier New"/>
      <w:sz w:val="26"/>
      <w:szCs w:val="22"/>
    </w:rPr>
  </w:style>
  <w:style w:type="character" w:styleId="946" w:customStyle="1">
    <w:name w:val="纯文本 Char Char"/>
    <w:link w:val="947"/>
    <w:uiPriority w:val="0"/>
    <w:qFormat/>
    <w:rPr>
      <w:rFonts w:ascii="宋体" w:hAnsi="Courier New" w:eastAsia="楷体_GB2312"/>
      <w:sz w:val="26"/>
    </w:rPr>
  </w:style>
  <w:style w:type="paragraph" w:styleId="947" w:customStyle="1">
    <w:name w:val="纯文本11"/>
    <w:basedOn w:val="690"/>
    <w:link w:val="946"/>
    <w:uiPriority w:val="0"/>
    <w:qFormat/>
    <w:pPr>
      <w:spacing w:line="360" w:lineRule="auto"/>
      <w:widowControl/>
    </w:pPr>
    <w:rPr>
      <w:rFonts w:ascii="宋体" w:hAnsi="Courier New"/>
      <w:sz w:val="26"/>
      <w:szCs w:val="22"/>
    </w:rPr>
  </w:style>
  <w:style w:type="character" w:styleId="948" w:customStyle="1">
    <w:name w:val="02 标题 Char"/>
    <w:link w:val="949"/>
    <w:uiPriority w:val="0"/>
    <w:qFormat/>
    <w:rPr>
      <w:b/>
      <w:szCs w:val="21"/>
    </w:rPr>
  </w:style>
  <w:style w:type="paragraph" w:styleId="949" w:customStyle="1">
    <w:name w:val="02 标题"/>
    <w:basedOn w:val="690"/>
    <w:link w:val="948"/>
    <w:uiPriority w:val="0"/>
    <w:qFormat/>
    <w:pPr>
      <w:keepNext/>
      <w:spacing w:line="360" w:lineRule="auto"/>
      <w:widowControl/>
      <w:outlineLvl w:val="0"/>
    </w:pPr>
    <w:rPr>
      <w:rFonts w:ascii="等线" w:hAnsi="等线" w:eastAsia="等线"/>
      <w:b/>
      <w:sz w:val="21"/>
      <w:szCs w:val="21"/>
    </w:rPr>
  </w:style>
  <w:style w:type="character" w:styleId="950" w:customStyle="1">
    <w:name w:val="正文首行缩进 Char Char"/>
    <w:link w:val="951"/>
    <w:uiPriority w:val="0"/>
    <w:qFormat/>
    <w:rPr>
      <w:szCs w:val="24"/>
    </w:rPr>
  </w:style>
  <w:style w:type="paragraph" w:styleId="951" w:customStyle="1">
    <w:name w:val="正文首行缩进1"/>
    <w:basedOn w:val="702"/>
    <w:link w:val="950"/>
    <w:uiPriority w:val="0"/>
    <w:qFormat/>
    <w:pPr>
      <w:ind w:firstLine="420"/>
      <w:widowControl/>
    </w:pPr>
    <w:rPr>
      <w:rFonts w:ascii="等线" w:hAnsi="等线" w:eastAsia="等线"/>
      <w:sz w:val="21"/>
      <w:szCs w:val="24"/>
    </w:rPr>
  </w:style>
  <w:style w:type="character" w:styleId="952" w:customStyle="1">
    <w:name w:val="_正文段落 Char"/>
    <w:link w:val="953"/>
    <w:uiPriority w:val="0"/>
    <w:qFormat/>
    <w:rPr>
      <w:rFonts w:ascii="宋体" w:hAnsi="宋体" w:eastAsia="宋体"/>
      <w:sz w:val="24"/>
      <w:szCs w:val="24"/>
    </w:rPr>
  </w:style>
  <w:style w:type="paragraph" w:styleId="953" w:customStyle="1">
    <w:name w:val="_正文段落"/>
    <w:basedOn w:val="690"/>
    <w:link w:val="952"/>
    <w:uiPriority w:val="0"/>
    <w:qFormat/>
    <w:pPr>
      <w:ind w:firstLine="200"/>
      <w:jc w:val="left"/>
      <w:spacing w:line="360" w:lineRule="auto"/>
    </w:pPr>
    <w:rPr>
      <w:rFonts w:ascii="宋体" w:hAnsi="宋体" w:eastAsia="宋体"/>
      <w:sz w:val="24"/>
      <w:szCs w:val="24"/>
    </w:rPr>
  </w:style>
  <w:style w:type="character" w:styleId="954" w:customStyle="1">
    <w:name w:val="3级方案标题 字符"/>
    <w:link w:val="955"/>
    <w:uiPriority w:val="0"/>
    <w:qFormat/>
    <w:rPr>
      <w:rFonts w:ascii="宋体" w:hAnsi="宋体" w:eastAsia="宋体"/>
      <w:b/>
      <w:color w:val="000000"/>
      <w:sz w:val="32"/>
      <w:szCs w:val="32"/>
    </w:rPr>
  </w:style>
  <w:style w:type="paragraph" w:styleId="955" w:customStyle="1">
    <w:name w:val="3级方案标题"/>
    <w:basedOn w:val="693"/>
    <w:link w:val="954"/>
    <w:uiPriority w:val="0"/>
    <w:qFormat/>
    <w:pPr>
      <w:numPr>
        <w:ilvl w:val="2"/>
        <w:numId w:val="1"/>
      </w:numPr>
      <w:jc w:val="both"/>
      <w:spacing w:before="100" w:beforeAutospacing="1" w:after="100" w:afterAutospacing="1" w:line="360" w:lineRule="auto"/>
      <w:tabs>
        <w:tab w:val="left" w:pos="2717" w:leader="none"/>
        <w:tab w:val="left" w:pos="3556" w:leader="none"/>
      </w:tabs>
    </w:pPr>
    <w:rPr>
      <w:rFonts w:ascii="宋体" w:hAnsi="宋体" w:eastAsia="宋体"/>
      <w:color w:val="000000"/>
      <w:szCs w:val="32"/>
    </w:rPr>
  </w:style>
  <w:style w:type="character" w:styleId="956" w:customStyle="1">
    <w:name w:val="Plain Text Char"/>
    <w:link w:val="957"/>
    <w:uiPriority w:val="0"/>
    <w:qFormat/>
    <w:rPr>
      <w:rFonts w:ascii="宋体" w:hAnsi="Courier New" w:eastAsia="楷体_GB2312" w:cs="宋体"/>
      <w:sz w:val="26"/>
    </w:rPr>
  </w:style>
  <w:style w:type="paragraph" w:styleId="957" w:customStyle="1">
    <w:name w:val="纯文本5"/>
    <w:basedOn w:val="690"/>
    <w:link w:val="956"/>
    <w:uiPriority w:val="0"/>
    <w:qFormat/>
    <w:rPr>
      <w:rFonts w:ascii="宋体" w:hAnsi="Courier New" w:cs="宋体"/>
      <w:sz w:val="26"/>
      <w:szCs w:val="22"/>
    </w:rPr>
  </w:style>
  <w:style w:type="character" w:styleId="958" w:customStyle="1">
    <w:name w:val="09汇 表 Char"/>
    <w:link w:val="959"/>
    <w:uiPriority w:val="0"/>
    <w:qFormat/>
    <w:rPr>
      <w:rFonts w:ascii="Times New Roman" w:hAnsi="Times New Roman" w:cs="Times New Roman"/>
      <w:bCs/>
      <w:color w:val="000000"/>
      <w:sz w:val="22"/>
      <w:szCs w:val="24"/>
    </w:rPr>
  </w:style>
  <w:style w:type="paragraph" w:styleId="959" w:customStyle="1">
    <w:name w:val="09汇 表"/>
    <w:basedOn w:val="690"/>
    <w:link w:val="958"/>
    <w:uiPriority w:val="0"/>
    <w:qFormat/>
    <w:pPr>
      <w:jc w:val="center"/>
      <w:widowControl/>
    </w:pPr>
    <w:rPr>
      <w:rFonts w:eastAsia="等线"/>
      <w:bCs/>
      <w:color w:val="000000"/>
      <w:sz w:val="22"/>
      <w:szCs w:val="24"/>
    </w:rPr>
  </w:style>
  <w:style w:type="character" w:styleId="960" w:customStyle="1">
    <w:name w:val="UH正文 Char"/>
    <w:link w:val="961"/>
    <w:uiPriority w:val="0"/>
    <w:qFormat/>
    <w:rPr>
      <w:rFonts w:ascii="Arial" w:hAnsi="Arial" w:cs="Arial"/>
      <w:sz w:val="24"/>
      <w:szCs w:val="21"/>
    </w:rPr>
  </w:style>
  <w:style w:type="paragraph" w:styleId="961" w:customStyle="1">
    <w:name w:val="UH正文"/>
    <w:link w:val="960"/>
    <w:uiPriority w:val="0"/>
    <w:qFormat/>
    <w:pPr>
      <w:ind w:firstLine="200"/>
      <w:spacing w:line="360" w:lineRule="auto"/>
    </w:pPr>
    <w:rPr>
      <w:rFonts w:ascii="Arial" w:hAnsi="Arial" w:eastAsia="宋体" w:cs="Arial"/>
      <w:sz w:val="24"/>
      <w:szCs w:val="21"/>
      <w:lang w:val="en-US" w:eastAsia="zh-CN" w:bidi="ar-SA"/>
    </w:rPr>
  </w:style>
  <w:style w:type="paragraph" w:styleId="962" w:customStyle="1">
    <w:name w:val="xl100"/>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963" w:customStyle="1">
    <w:name w:val="xl41328"/>
    <w:basedOn w:val="69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0"/>
    </w:rPr>
  </w:style>
  <w:style w:type="paragraph" w:styleId="964" w:customStyle="1">
    <w:name w:val="xl41322"/>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965" w:customStyle="1">
    <w:name w:val="xl24246"/>
    <w:basedOn w:val="69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966" w:customStyle="1">
    <w:name w:val="xl72"/>
    <w:basedOn w:val="690"/>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967" w:customStyle="1">
    <w:name w:val="财政-标题一"/>
    <w:basedOn w:val="690"/>
    <w:uiPriority w:val="99"/>
    <w:qFormat/>
    <w:pPr>
      <w:numPr>
        <w:ilvl w:val="0"/>
        <w:numId w:val="2"/>
      </w:numPr>
      <w:ind w:left="15" w:right="15"/>
      <w:outlineLvl w:val="0"/>
    </w:pPr>
    <w:rPr>
      <w:rFonts w:eastAsia="华文中宋"/>
      <w:b/>
      <w:sz w:val="44"/>
      <w:szCs w:val="21"/>
    </w:rPr>
  </w:style>
  <w:style w:type="paragraph" w:styleId="968" w:customStyle="1">
    <w:name w:val="xl41320"/>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969" w:customStyle="1">
    <w:name w:val="xl130"/>
    <w:basedOn w:val="690"/>
    <w:uiPriority w:val="99"/>
    <w:qFormat/>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ascii="宋体" w:hAnsi="宋体" w:eastAsia="宋体" w:cs="宋体"/>
      <w:b/>
      <w:bCs/>
      <w:sz w:val="24"/>
      <w:szCs w:val="24"/>
    </w:rPr>
  </w:style>
  <w:style w:type="paragraph" w:styleId="970" w:customStyle="1">
    <w:name w:val="xl83"/>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971" w:customStyle="1">
    <w:name w:val="xl79"/>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972" w:customStyle="1">
    <w:name w:val="font9"/>
    <w:basedOn w:val="690"/>
    <w:uiPriority w:val="99"/>
    <w:qFormat/>
    <w:pPr>
      <w:jc w:val="left"/>
      <w:spacing w:before="100" w:beforeAutospacing="1" w:after="100" w:afterAutospacing="1"/>
      <w:widowControl/>
    </w:pPr>
    <w:rPr>
      <w:rFonts w:ascii="宋体" w:hAnsi="宋体" w:eastAsia="宋体" w:cs="宋体"/>
      <w:sz w:val="18"/>
      <w:szCs w:val="18"/>
    </w:rPr>
  </w:style>
  <w:style w:type="paragraph" w:styleId="973" w:customStyle="1">
    <w:name w:val="段"/>
    <w:next w:val="690"/>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74" w:customStyle="1">
    <w:name w:val="Default"/>
    <w:uiPriority w:val="99"/>
    <w:qFormat/>
    <w:pPr>
      <w:widowControl w:val="off"/>
    </w:pPr>
    <w:rPr>
      <w:rFonts w:ascii="黑体" w:hAnsi="Times New Roman" w:eastAsia="黑体" w:cs="黑体"/>
      <w:color w:val="000000"/>
      <w:sz w:val="24"/>
      <w:szCs w:val="24"/>
      <w:lang w:val="en-US" w:eastAsia="zh-CN" w:bidi="ar-SA"/>
    </w:rPr>
  </w:style>
  <w:style w:type="paragraph" w:styleId="975" w:customStyle="1">
    <w:name w:val="Char Char Char Char"/>
    <w:basedOn w:val="707"/>
    <w:uiPriority w:val="99"/>
    <w:qFormat/>
    <w:pPr>
      <w:spacing w:line="360" w:lineRule="auto"/>
    </w:pPr>
    <w:rPr>
      <w:rFonts w:ascii="Tahoma" w:hAnsi="Tahoma" w:eastAsia="宋体"/>
      <w:sz w:val="24"/>
      <w:szCs w:val="24"/>
    </w:rPr>
  </w:style>
  <w:style w:type="paragraph" w:styleId="976" w:customStyle="1">
    <w:name w:val="标题3"/>
    <w:basedOn w:val="693"/>
    <w:uiPriority w:val="99"/>
    <w:qFormat/>
    <w:pPr>
      <w:jc w:val="both"/>
      <w:keepLines w:val="0"/>
      <w:keepNext w:val="0"/>
      <w:spacing w:line="360" w:lineRule="auto"/>
    </w:pPr>
    <w:rPr>
      <w:rFonts w:eastAsia="仿宋_GB2312"/>
      <w:bCs/>
      <w:sz w:val="30"/>
      <w:szCs w:val="32"/>
    </w:rPr>
  </w:style>
  <w:style w:type="paragraph" w:styleId="977" w:customStyle="1">
    <w:name w:val="xl108"/>
    <w:basedOn w:val="69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4"/>
      <w:szCs w:val="24"/>
    </w:rPr>
  </w:style>
  <w:style w:type="paragraph" w:styleId="978" w:customStyle="1">
    <w:name w:val="xl24248"/>
    <w:basedOn w:val="69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0"/>
    </w:rPr>
  </w:style>
  <w:style w:type="paragraph" w:styleId="979" w:customStyle="1">
    <w:name w:val="xl24265"/>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32"/>
      <w:szCs w:val="32"/>
    </w:rPr>
  </w:style>
  <w:style w:type="paragraph" w:styleId="980" w:customStyle="1">
    <w:name w:val="xl24257"/>
    <w:basedOn w:val="690"/>
    <w:uiPriority w:val="99"/>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0"/>
    </w:rPr>
  </w:style>
  <w:style w:type="paragraph" w:styleId="981" w:customStyle="1">
    <w:name w:val="正文 A"/>
    <w:uiPriority w:val="99"/>
    <w:qFormat/>
    <w:pPr>
      <w:jc w:val="both"/>
      <w:widowControl w:val="off"/>
      <w:framePr w:wrap="around" w:vAnchor="margin" w:hAnchor="text" w:yAlign="top"/>
    </w:pPr>
    <w:rPr>
      <w:rFonts w:ascii="Times New Roman" w:hAnsi="Arial Unicode MS" w:eastAsia="Arial Unicode MS" w:cs="Arial Unicode MS"/>
      <w:color w:val="000000"/>
      <w:sz w:val="21"/>
      <w:szCs w:val="21"/>
      <w:lang w:val="en-US" w:eastAsia="zh-CN" w:bidi="ar-SA"/>
    </w:rPr>
  </w:style>
  <w:style w:type="paragraph" w:styleId="982" w:customStyle="1">
    <w:name w:val="纯文本2"/>
    <w:basedOn w:val="690"/>
    <w:uiPriority w:val="99"/>
    <w:qFormat/>
    <w:rPr>
      <w:rFonts w:ascii="宋体" w:hAnsi="Courier New"/>
      <w:sz w:val="26"/>
    </w:rPr>
  </w:style>
  <w:style w:type="paragraph" w:styleId="983" w:customStyle="1">
    <w:name w:val="Char Char Char"/>
    <w:basedOn w:val="707"/>
    <w:uiPriority w:val="99"/>
    <w:qFormat/>
    <w:pPr>
      <w:spacing w:line="360" w:lineRule="auto"/>
    </w:pPr>
    <w:rPr>
      <w:rFonts w:ascii="Tahoma" w:hAnsi="Tahoma" w:eastAsia="宋体"/>
      <w:sz w:val="24"/>
      <w:szCs w:val="24"/>
    </w:rPr>
  </w:style>
  <w:style w:type="paragraph" w:styleId="984" w:customStyle="1">
    <w:name w:val="xl24262"/>
    <w:basedOn w:val="690"/>
    <w:uiPriority w:val="99"/>
    <w:qFormat/>
    <w:pPr>
      <w:jc w:val="center"/>
      <w:spacing w:before="100" w:beforeAutospacing="1" w:after="100" w:afterAutospacing="1"/>
      <w:widowControl/>
      <w:pBdr>
        <w:right w:val="single" w:color="000000" w:sz="4" w:space="0"/>
      </w:pBdr>
    </w:pPr>
    <w:rPr>
      <w:rFonts w:ascii="宋体" w:hAnsi="宋体" w:eastAsia="宋体" w:cs="宋体"/>
      <w:sz w:val="20"/>
    </w:rPr>
  </w:style>
  <w:style w:type="paragraph" w:styleId="985" w:customStyle="1">
    <w:name w:val="xl24254"/>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986" w:customStyle="1">
    <w:name w:val="xl41330"/>
    <w:basedOn w:val="690"/>
    <w:uiPriority w:val="99"/>
    <w:qFormat/>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987" w:customStyle="1">
    <w:name w:val="xl106"/>
    <w:basedOn w:val="690"/>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988" w:customStyle="1">
    <w:name w:val="xl24256"/>
    <w:basedOn w:val="690"/>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rPr>
  </w:style>
  <w:style w:type="paragraph" w:styleId="989" w:customStyle="1">
    <w:name w:val="xl69"/>
    <w:basedOn w:val="690"/>
    <w:uiPriority w:val="99"/>
    <w:qFormat/>
    <w:pPr>
      <w:jc w:val="center"/>
      <w:spacing w:before="100" w:beforeAutospacing="1" w:after="100" w:afterAutospacing="1"/>
      <w:shd w:val="clear" w:color="auto" w:fill="ffffff"/>
      <w:widowControl/>
    </w:pPr>
    <w:rPr>
      <w:rFonts w:ascii="宋体" w:hAnsi="宋体" w:eastAsia="宋体" w:cs="宋体"/>
      <w:sz w:val="24"/>
      <w:szCs w:val="24"/>
    </w:rPr>
  </w:style>
  <w:style w:type="paragraph" w:styleId="990" w:customStyle="1">
    <w:name w:val="xl115"/>
    <w:basedOn w:val="690"/>
    <w:uiPriority w:val="99"/>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b/>
      <w:bCs/>
      <w:sz w:val="24"/>
      <w:szCs w:val="24"/>
    </w:rPr>
  </w:style>
  <w:style w:type="paragraph" w:styleId="991" w:customStyle="1">
    <w:name w:val="xl41339"/>
    <w:basedOn w:val="690"/>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992" w:customStyle="1">
    <w:name w:val="xl77"/>
    <w:basedOn w:val="690"/>
    <w:uiPriority w:val="99"/>
    <w:qFormat/>
    <w:pPr>
      <w:jc w:val="left"/>
      <w:spacing w:before="100" w:beforeAutospacing="1" w:after="100" w:afterAutospacing="1"/>
      <w:widowControl/>
    </w:pPr>
    <w:rPr>
      <w:rFonts w:ascii="宋体" w:hAnsi="宋体" w:eastAsia="宋体" w:cs="宋体"/>
      <w:b/>
      <w:bCs/>
      <w:sz w:val="24"/>
      <w:szCs w:val="24"/>
    </w:rPr>
  </w:style>
  <w:style w:type="paragraph" w:styleId="993" w:customStyle="1">
    <w:name w:val="xl126"/>
    <w:basedOn w:val="690"/>
    <w:uiPriority w:val="99"/>
    <w:qFormat/>
    <w:pPr>
      <w:jc w:val="left"/>
      <w:spacing w:before="100" w:beforeAutospacing="1" w:after="100" w:afterAutospacing="1"/>
      <w:shd w:val="clear" w:color="auto" w:fill="ffffff"/>
      <w:widowControl/>
      <w:pBdr>
        <w:left w:val="single" w:color="000000" w:sz="4" w:space="0"/>
      </w:pBdr>
    </w:pPr>
    <w:rPr>
      <w:rFonts w:ascii="宋体" w:hAnsi="宋体" w:eastAsia="宋体" w:cs="宋体"/>
      <w:b/>
      <w:bCs/>
      <w:sz w:val="24"/>
      <w:szCs w:val="24"/>
    </w:rPr>
  </w:style>
  <w:style w:type="paragraph" w:styleId="994" w:customStyle="1">
    <w:name w:val="xl133"/>
    <w:basedOn w:val="69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4"/>
      <w:szCs w:val="24"/>
    </w:rPr>
  </w:style>
  <w:style w:type="paragraph" w:styleId="995" w:customStyle="1">
    <w:name w:val="Char Char Char Char Char Char Char Char Char Char"/>
    <w:basedOn w:val="690"/>
    <w:uiPriority w:val="99"/>
    <w:qFormat/>
    <w:pPr>
      <w:ind w:left="360" w:hanging="360"/>
      <w:tabs>
        <w:tab w:val="left" w:pos="360" w:leader="none"/>
      </w:tabs>
    </w:pPr>
    <w:rPr>
      <w:rFonts w:eastAsia="宋体"/>
      <w:sz w:val="24"/>
      <w:szCs w:val="24"/>
    </w:rPr>
  </w:style>
  <w:style w:type="paragraph" w:styleId="996" w:customStyle="1">
    <w:name w:val="xl41336"/>
    <w:basedOn w:val="690"/>
    <w:uiPriority w:val="99"/>
    <w:qFormat/>
    <w:pPr>
      <w:jc w:val="left"/>
      <w:spacing w:before="100" w:beforeAutospacing="1" w:after="100" w:afterAutospacing="1"/>
      <w:widowControl/>
      <w:pBdr>
        <w:left w:val="single" w:color="000000" w:sz="4" w:space="0"/>
        <w:bottom w:val="single" w:color="000000" w:sz="6" w:space="0"/>
        <w:right w:val="single" w:color="000000" w:sz="4" w:space="0"/>
      </w:pBdr>
    </w:pPr>
    <w:rPr>
      <w:rFonts w:ascii="宋体" w:hAnsi="宋体" w:eastAsia="宋体" w:cs="宋体"/>
      <w:sz w:val="20"/>
    </w:rPr>
  </w:style>
  <w:style w:type="paragraph" w:styleId="997" w:customStyle="1">
    <w:name w:val="xl41325"/>
    <w:basedOn w:val="690"/>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rPr>
  </w:style>
  <w:style w:type="paragraph" w:styleId="998" w:customStyle="1">
    <w:name w:val="xl41304"/>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999" w:customStyle="1">
    <w:name w:val="xl127"/>
    <w:basedOn w:val="690"/>
    <w:uiPriority w:val="99"/>
    <w:qFormat/>
    <w:pPr>
      <w:jc w:val="center"/>
      <w:spacing w:before="100" w:beforeAutospacing="1" w:after="100" w:afterAutospacing="1"/>
      <w:widowControl/>
      <w:pBdr>
        <w:bottom w:val="single" w:color="000000" w:sz="4" w:space="0"/>
      </w:pBdr>
    </w:pPr>
    <w:rPr>
      <w:rFonts w:ascii="宋体" w:hAnsi="宋体" w:eastAsia="宋体" w:cs="宋体"/>
      <w:b/>
      <w:bCs/>
      <w:szCs w:val="28"/>
    </w:rPr>
  </w:style>
  <w:style w:type="paragraph" w:styleId="1000" w:customStyle="1">
    <w:name w:val="font8"/>
    <w:basedOn w:val="690"/>
    <w:uiPriority w:val="99"/>
    <w:qFormat/>
    <w:pPr>
      <w:jc w:val="left"/>
      <w:spacing w:before="100" w:beforeAutospacing="1" w:after="100" w:afterAutospacing="1"/>
      <w:widowControl/>
    </w:pPr>
    <w:rPr>
      <w:rFonts w:ascii="宋体" w:hAnsi="宋体" w:eastAsia="宋体" w:cs="宋体"/>
      <w:color w:val="000000"/>
      <w:sz w:val="20"/>
    </w:rPr>
  </w:style>
  <w:style w:type="paragraph" w:styleId="1001" w:customStyle="1">
    <w:name w:val="xl41319"/>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02" w:customStyle="1">
    <w:name w:val="xl41308"/>
    <w:basedOn w:val="690"/>
    <w:uiPriority w:val="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03" w:customStyle="1">
    <w:name w:val="xl129"/>
    <w:basedOn w:val="690"/>
    <w:uiPriority w:val="99"/>
    <w:qFormat/>
    <w:pPr>
      <w:jc w:val="center"/>
      <w:spacing w:before="100" w:beforeAutospacing="1" w:after="100" w:afterAutospacing="1"/>
      <w:shd w:val="clear" w:color="auto" w:fill="ffffff"/>
      <w:widowControl/>
      <w:pBdr>
        <w:left w:val="single" w:color="000000" w:sz="4" w:space="0"/>
        <w:right w:val="single" w:color="000000" w:sz="4" w:space="0"/>
      </w:pBdr>
    </w:pPr>
    <w:rPr>
      <w:rFonts w:ascii="宋体" w:hAnsi="宋体" w:eastAsia="宋体" w:cs="宋体"/>
      <w:b/>
      <w:bCs/>
      <w:sz w:val="24"/>
      <w:szCs w:val="24"/>
    </w:rPr>
  </w:style>
  <w:style w:type="paragraph" w:styleId="1004" w:customStyle="1">
    <w:name w:val="xl24241"/>
    <w:basedOn w:val="690"/>
    <w:uiPriority w:val="99"/>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0"/>
    </w:rPr>
  </w:style>
  <w:style w:type="paragraph" w:styleId="1005" w:customStyle="1">
    <w:name w:val="xl24272"/>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06" w:customStyle="1">
    <w:name w:val="xl112"/>
    <w:basedOn w:val="690"/>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07" w:customStyle="1">
    <w:name w:val="Char Char Char Char Char Char Char Char Char1 Char"/>
    <w:basedOn w:val="707"/>
    <w:uiPriority w:val="99"/>
    <w:qFormat/>
    <w:pPr>
      <w:spacing w:line="360" w:lineRule="auto"/>
    </w:pPr>
    <w:rPr>
      <w:rFonts w:ascii="Tahoma" w:hAnsi="Tahoma" w:eastAsia="宋体"/>
      <w:sz w:val="24"/>
      <w:szCs w:val="24"/>
    </w:rPr>
  </w:style>
  <w:style w:type="paragraph" w:styleId="1008" w:customStyle="1">
    <w:name w:val="纯文本111"/>
    <w:basedOn w:val="690"/>
    <w:uiPriority w:val="99"/>
    <w:qFormat/>
    <w:rPr>
      <w:rFonts w:ascii="宋体" w:hAnsi="Courier New"/>
    </w:rPr>
  </w:style>
  <w:style w:type="paragraph" w:styleId="1009" w:customStyle="1">
    <w:name w:val="xl24255"/>
    <w:basedOn w:val="690"/>
    <w:uiPriority w:val="99"/>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010" w:customStyle="1">
    <w:name w:val="Char"/>
    <w:basedOn w:val="690"/>
    <w:uiPriority w:val="99"/>
    <w:qFormat/>
    <w:rPr>
      <w:rFonts w:ascii="Tahoma" w:hAnsi="Tahoma" w:eastAsia="宋体"/>
      <w:sz w:val="24"/>
    </w:rPr>
  </w:style>
  <w:style w:type="paragraph" w:styleId="1011" w:customStyle="1">
    <w:name w:val="xl41317"/>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12" w:customStyle="1">
    <w:name w:val="5级方案标题"/>
    <w:basedOn w:val="694"/>
    <w:uiPriority w:val="99"/>
    <w:qFormat/>
    <w:pPr>
      <w:spacing w:before="0" w:after="0" w:line="376" w:lineRule="auto"/>
      <w:outlineLvl w:val="4"/>
    </w:pPr>
    <w:rPr>
      <w:rFonts w:ascii="宋体" w:hAnsi="宋体"/>
      <w:sz w:val="24"/>
      <w:lang w:val="zh-CN"/>
    </w:rPr>
  </w:style>
  <w:style w:type="paragraph" w:styleId="1013" w:customStyle="1">
    <w:name w:val="xl24229"/>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14" w:customStyle="1">
    <w:name w:val="xl24247"/>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15" w:customStyle="1">
    <w:name w:val="xl117"/>
    <w:basedOn w:val="69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016" w:customStyle="1">
    <w:name w:val="xl24263"/>
    <w:basedOn w:val="690"/>
    <w:uiPriority w:val="99"/>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sz w:val="20"/>
    </w:rPr>
  </w:style>
  <w:style w:type="paragraph" w:styleId="1017" w:customStyle="1">
    <w:name w:val="xl41301"/>
    <w:basedOn w:val="690"/>
    <w:uiPriority w:val="99"/>
    <w:qFormat/>
    <w:pPr>
      <w:jc w:val="center"/>
      <w:spacing w:before="100" w:beforeAutospacing="1" w:after="100" w:afterAutospacing="1"/>
      <w:shd w:val="clear" w:color="auto" w:fill="b6dde8"/>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18" w:customStyle="1">
    <w:name w:val="xl24269"/>
    <w:basedOn w:val="69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0"/>
    </w:rPr>
  </w:style>
  <w:style w:type="paragraph" w:styleId="1019" w:customStyle="1">
    <w:name w:val="xl24227"/>
    <w:basedOn w:val="690"/>
    <w:uiPriority w:val="99"/>
    <w:qFormat/>
    <w:pPr>
      <w:jc w:val="left"/>
      <w:spacing w:before="100" w:beforeAutospacing="1" w:after="100" w:afterAutospacing="1"/>
      <w:shd w:val="clear" w:color="auto" w:fill="acb9ca"/>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20" w:customStyle="1">
    <w:name w:val="xl41311"/>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21" w:customStyle="1">
    <w:name w:val="xl24259"/>
    <w:basedOn w:val="690"/>
    <w:uiPriority w:val="99"/>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sz w:val="20"/>
    </w:rPr>
  </w:style>
  <w:style w:type="paragraph" w:styleId="1022" w:customStyle="1">
    <w:name w:val="Char11"/>
    <w:basedOn w:val="707"/>
    <w:uiPriority w:val="99"/>
    <w:qFormat/>
    <w:pPr>
      <w:spacing w:line="360" w:lineRule="auto"/>
    </w:pPr>
    <w:rPr>
      <w:rFonts w:ascii="Tahoma" w:hAnsi="Tahoma" w:eastAsia="宋体"/>
      <w:sz w:val="24"/>
      <w:szCs w:val="24"/>
    </w:rPr>
  </w:style>
  <w:style w:type="paragraph" w:styleId="1023" w:customStyle="1">
    <w:name w:val="xl41334"/>
    <w:basedOn w:val="690"/>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24" w:customStyle="1">
    <w:name w:val="xl41314"/>
    <w:basedOn w:val="69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rPr>
  </w:style>
  <w:style w:type="paragraph" w:styleId="1025" w:customStyle="1">
    <w:name w:val="xl868"/>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26" w:customStyle="1">
    <w:name w:val="xl118"/>
    <w:basedOn w:val="69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027" w:customStyle="1">
    <w:name w:val="font10"/>
    <w:basedOn w:val="690"/>
    <w:uiPriority w:val="99"/>
    <w:qFormat/>
    <w:pPr>
      <w:jc w:val="left"/>
      <w:spacing w:before="100" w:beforeAutospacing="1" w:after="100" w:afterAutospacing="1"/>
      <w:widowControl/>
    </w:pPr>
    <w:rPr>
      <w:rFonts w:ascii="宋体" w:hAnsi="宋体" w:eastAsia="宋体" w:cs="宋体"/>
      <w:sz w:val="18"/>
      <w:szCs w:val="18"/>
    </w:rPr>
  </w:style>
  <w:style w:type="paragraph" w:styleId="1028" w:customStyle="1">
    <w:name w:val="font7"/>
    <w:basedOn w:val="690"/>
    <w:uiPriority w:val="99"/>
    <w:qFormat/>
    <w:pPr>
      <w:jc w:val="left"/>
      <w:spacing w:before="100" w:beforeAutospacing="1" w:after="100" w:afterAutospacing="1"/>
      <w:widowControl/>
    </w:pPr>
    <w:rPr>
      <w:rFonts w:eastAsia="宋体"/>
      <w:sz w:val="20"/>
    </w:rPr>
  </w:style>
  <w:style w:type="paragraph" w:styleId="1029" w:customStyle="1">
    <w:name w:val="xl41318"/>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30" w:customStyle="1">
    <w:name w:val="xl24244"/>
    <w:basedOn w:val="69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031" w:customStyle="1">
    <w:name w:val="xl111"/>
    <w:basedOn w:val="690"/>
    <w:uiPriority w:val="99"/>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b/>
      <w:bCs/>
      <w:sz w:val="24"/>
      <w:szCs w:val="24"/>
    </w:rPr>
  </w:style>
  <w:style w:type="paragraph" w:styleId="1032" w:customStyle="1">
    <w:name w:val="xl113"/>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33" w:customStyle="1">
    <w:name w:val="xl109"/>
    <w:basedOn w:val="69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4"/>
      <w:szCs w:val="24"/>
    </w:rPr>
  </w:style>
  <w:style w:type="paragraph" w:styleId="1034" w:customStyle="1">
    <w:name w:val="xl24258"/>
    <w:basedOn w:val="690"/>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rPr>
  </w:style>
  <w:style w:type="paragraph" w:styleId="1035" w:customStyle="1">
    <w:name w:val="xl110"/>
    <w:basedOn w:val="690"/>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4"/>
      <w:szCs w:val="24"/>
    </w:rPr>
  </w:style>
  <w:style w:type="paragraph" w:styleId="1036" w:customStyle="1">
    <w:name w:val="默认段落字体 Para Char Char Char Char Char Char Char"/>
    <w:basedOn w:val="690"/>
    <w:uiPriority w:val="99"/>
    <w:qFormat/>
    <w:pPr>
      <w:spacing w:line="360" w:lineRule="auto"/>
    </w:pPr>
    <w:rPr>
      <w:rFonts w:ascii="Tahoma" w:hAnsi="Tahoma" w:eastAsia="宋体"/>
      <w:sz w:val="24"/>
    </w:rPr>
  </w:style>
  <w:style w:type="paragraph" w:styleId="1037" w:customStyle="1">
    <w:name w:val="Plain Text1"/>
    <w:basedOn w:val="690"/>
    <w:uiPriority w:val="99"/>
    <w:qFormat/>
    <w:rPr>
      <w:rFonts w:ascii="宋体" w:hAnsi="Courier New"/>
    </w:rPr>
  </w:style>
  <w:style w:type="paragraph" w:styleId="1038" w:customStyle="1">
    <w:name w:val="xl41307"/>
    <w:basedOn w:val="690"/>
    <w:uiPriority w:val="99"/>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39" w:customStyle="1">
    <w:name w:val="xl88"/>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40" w:customStyle="1">
    <w:name w:val="xl41316"/>
    <w:basedOn w:val="690"/>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41" w:customStyle="1">
    <w:name w:val="xl24243"/>
    <w:basedOn w:val="69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rPr>
  </w:style>
  <w:style w:type="paragraph" w:styleId="1042" w:customStyle="1">
    <w:name w:val="Char1"/>
    <w:basedOn w:val="690"/>
    <w:uiPriority w:val="99"/>
    <w:qFormat/>
    <w:pPr>
      <w:ind w:left="252"/>
      <w:jc w:val="left"/>
      <w:spacing w:after="160" w:line="240" w:lineRule="exact"/>
      <w:widowControl/>
      <w:tabs>
        <w:tab w:val="left" w:pos="509" w:leader="none"/>
      </w:tabs>
    </w:pPr>
    <w:rPr>
      <w:rFonts w:ascii="Verdana" w:hAnsi="Verdana" w:eastAsia="仿宋_GB2312"/>
      <w:sz w:val="24"/>
      <w:lang w:eastAsia="en-US"/>
    </w:rPr>
  </w:style>
  <w:style w:type="paragraph" w:styleId="1043" w:customStyle="1">
    <w:name w:val="xl74"/>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1044" w:customStyle="1">
    <w:name w:val="xl41293"/>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45" w:customStyle="1">
    <w:name w:val="Andy_一级"/>
    <w:basedOn w:val="753"/>
    <w:uiPriority w:val="99"/>
    <w:qFormat/>
    <w:pPr>
      <w:ind w:left="360" w:hanging="360"/>
      <w:keepNext/>
      <w:spacing w:line="360" w:lineRule="auto"/>
      <w:tabs>
        <w:tab w:val="left" w:pos="360" w:leader="none"/>
      </w:tabs>
    </w:pPr>
    <w:rPr>
      <w:b/>
      <w:sz w:val="24"/>
    </w:rPr>
  </w:style>
  <w:style w:type="paragraph" w:styleId="1046" w:customStyle="1">
    <w:name w:val="xl41294"/>
    <w:basedOn w:val="690"/>
    <w:uiPriority w:val="99"/>
    <w:qFormat/>
    <w:pPr>
      <w:jc w:val="left"/>
      <w:spacing w:before="100" w:beforeAutospacing="1" w:after="100" w:afterAutospacing="1"/>
      <w:widowControl/>
    </w:pPr>
    <w:rPr>
      <w:rFonts w:ascii="宋体" w:hAnsi="宋体" w:eastAsia="宋体" w:cs="宋体"/>
      <w:b/>
      <w:bCs/>
      <w:sz w:val="24"/>
      <w:szCs w:val="24"/>
    </w:rPr>
  </w:style>
  <w:style w:type="paragraph" w:styleId="1047" w:customStyle="1">
    <w:name w:val="xl24268"/>
    <w:basedOn w:val="69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rPr>
  </w:style>
  <w:style w:type="paragraph" w:styleId="1048" w:customStyle="1">
    <w:name w:val="xl41299"/>
    <w:basedOn w:val="690"/>
    <w:uiPriority w:val="99"/>
    <w:qFormat/>
    <w:pPr>
      <w:jc w:val="left"/>
      <w:spacing w:before="100" w:beforeAutospacing="1" w:after="100" w:afterAutospacing="1"/>
      <w:widowControl/>
    </w:pPr>
    <w:rPr>
      <w:rFonts w:ascii="宋体" w:hAnsi="宋体" w:eastAsia="宋体" w:cs="宋体"/>
      <w:b/>
      <w:bCs/>
      <w:sz w:val="24"/>
      <w:szCs w:val="24"/>
    </w:rPr>
  </w:style>
  <w:style w:type="paragraph" w:styleId="1049" w:customStyle="1">
    <w:name w:val="xl93"/>
    <w:basedOn w:val="690"/>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050" w:customStyle="1">
    <w:name w:val="[正文行首缩进]"/>
    <w:uiPriority w:val="99"/>
    <w:qFormat/>
    <w:pPr>
      <w:ind w:firstLine="480"/>
      <w:jc w:val="both"/>
      <w:spacing w:line="360" w:lineRule="auto"/>
      <w:widowControl w:val="off"/>
    </w:pPr>
    <w:rPr>
      <w:rFonts w:ascii="Times New Roman" w:hAnsi="Times New Roman" w:eastAsia="宋体" w:cs="Times New Roman"/>
      <w:bCs/>
      <w:color w:val="000000"/>
      <w:sz w:val="24"/>
      <w:szCs w:val="24"/>
      <w:lang w:val="en-US" w:eastAsia="zh-CN" w:bidi="ar-SA"/>
    </w:rPr>
  </w:style>
  <w:style w:type="paragraph" w:styleId="1051" w:customStyle="1">
    <w:name w:val="Char12"/>
    <w:basedOn w:val="690"/>
    <w:uiPriority w:val="99"/>
    <w:qFormat/>
    <w:pPr>
      <w:ind w:right="36"/>
      <w:jc w:val="left"/>
      <w:spacing w:after="160" w:line="240" w:lineRule="exact"/>
      <w:widowControl/>
    </w:pPr>
    <w:rPr>
      <w:rFonts w:ascii="Arial" w:hAnsi="Arial" w:eastAsia="Times New Roman"/>
      <w:sz w:val="20"/>
      <w:lang w:eastAsia="en-US"/>
    </w:rPr>
  </w:style>
  <w:style w:type="paragraph" w:styleId="1052" w:customStyle="1">
    <w:name w:val="xl104"/>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053" w:customStyle="1">
    <w:name w:val="xl24264"/>
    <w:basedOn w:val="690"/>
    <w:uiPriority w:val="99"/>
    <w:qFormat/>
    <w:pPr>
      <w:jc w:val="center"/>
      <w:spacing w:before="100" w:beforeAutospacing="1" w:after="100" w:afterAutospacing="1"/>
      <w:widowControl/>
      <w:pBdr>
        <w:bottom w:val="single" w:color="000000" w:sz="4" w:space="0"/>
        <w:right w:val="single" w:color="000000" w:sz="4" w:space="0"/>
      </w:pBdr>
    </w:pPr>
    <w:rPr>
      <w:rFonts w:ascii="宋体" w:hAnsi="宋体" w:eastAsia="宋体" w:cs="宋体"/>
      <w:sz w:val="20"/>
    </w:rPr>
  </w:style>
  <w:style w:type="paragraph" w:styleId="1054" w:customStyle="1">
    <w:name w:val="xl41312"/>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55" w:customStyle="1">
    <w:name w:val="xl107"/>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56" w:customStyle="1">
    <w:name w:val="xl24245"/>
    <w:basedOn w:val="69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057" w:customStyle="1">
    <w:name w:val="xl24234"/>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58" w:customStyle="1">
    <w:name w:val="xl71"/>
    <w:basedOn w:val="690"/>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59" w:customStyle="1">
    <w:name w:val="xl125"/>
    <w:basedOn w:val="690"/>
    <w:uiPriority w:val="99"/>
    <w:qFormat/>
    <w:pPr>
      <w:jc w:val="left"/>
      <w:spacing w:before="100" w:beforeAutospacing="1" w:after="100" w:afterAutospacing="1"/>
      <w:shd w:val="clear" w:color="auto" w:fill="ffffff"/>
      <w:widowControl/>
      <w:pBdr>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60" w:customStyle="1">
    <w:name w:val="xl41324"/>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61" w:customStyle="1">
    <w:name w:val="xl84"/>
    <w:basedOn w:val="690"/>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62" w:customStyle="1">
    <w:name w:val="Char Char Char1 Char Char Char Char"/>
    <w:basedOn w:val="690"/>
    <w:uiPriority w:val="99"/>
    <w:qFormat/>
    <w:pPr>
      <w:jc w:val="left"/>
      <w:spacing w:after="160" w:line="240" w:lineRule="exact"/>
      <w:widowControl/>
    </w:pPr>
    <w:rPr>
      <w:rFonts w:eastAsia="宋体"/>
      <w:sz w:val="24"/>
      <w:szCs w:val="24"/>
    </w:rPr>
  </w:style>
  <w:style w:type="paragraph" w:styleId="1063" w:customStyle="1">
    <w:name w:val="Char Char Char1"/>
    <w:basedOn w:val="707"/>
    <w:uiPriority w:val="99"/>
    <w:qFormat/>
    <w:pPr>
      <w:spacing w:line="360" w:lineRule="auto"/>
    </w:pPr>
    <w:rPr>
      <w:rFonts w:ascii="Tahoma" w:hAnsi="Tahoma" w:eastAsia="宋体"/>
      <w:sz w:val="24"/>
      <w:szCs w:val="24"/>
    </w:rPr>
  </w:style>
  <w:style w:type="paragraph" w:styleId="1064" w:customStyle="1">
    <w:name w:val="xl97"/>
    <w:basedOn w:val="690"/>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仿宋" w:hAnsi="仿宋" w:eastAsia="仿宋" w:cs="宋体"/>
      <w:color w:val="ff0000"/>
      <w:sz w:val="22"/>
      <w:szCs w:val="22"/>
    </w:rPr>
  </w:style>
  <w:style w:type="paragraph" w:styleId="1065" w:customStyle="1">
    <w:name w:val="xl128"/>
    <w:basedOn w:val="690"/>
    <w:uiPriority w:val="99"/>
    <w:qFormat/>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ascii="宋体" w:hAnsi="宋体" w:eastAsia="宋体" w:cs="宋体"/>
      <w:b/>
      <w:bCs/>
      <w:sz w:val="24"/>
      <w:szCs w:val="24"/>
    </w:rPr>
  </w:style>
  <w:style w:type="paragraph" w:styleId="1066" w:customStyle="1">
    <w:name w:val="msolistparagraph"/>
    <w:basedOn w:val="690"/>
    <w:uiPriority w:val="99"/>
    <w:qFormat/>
    <w:pPr>
      <w:ind w:firstLine="420"/>
    </w:pPr>
    <w:rPr>
      <w:rFonts w:ascii="Calibri" w:hAnsi="Calibri" w:eastAsia="宋体"/>
      <w:sz w:val="21"/>
      <w:szCs w:val="22"/>
    </w:rPr>
  </w:style>
  <w:style w:type="paragraph" w:styleId="1067" w:customStyle="1">
    <w:name w:val="xl116"/>
    <w:basedOn w:val="690"/>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68" w:customStyle="1">
    <w:name w:val="xl85"/>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1069" w:customStyle="1">
    <w:name w:val="xl24228"/>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70" w:customStyle="1">
    <w:name w:val="xl73"/>
    <w:basedOn w:val="690"/>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71" w:customStyle="1">
    <w:name w:val="xl81"/>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72" w:customStyle="1">
    <w:name w:val="xl103"/>
    <w:basedOn w:val="690"/>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073" w:customStyle="1">
    <w:name w:val="Char Char3"/>
    <w:basedOn w:val="690"/>
    <w:uiPriority w:val="99"/>
    <w:qFormat/>
    <w:rPr>
      <w:rFonts w:eastAsia="宋体"/>
      <w:b/>
      <w:i/>
      <w:sz w:val="24"/>
      <w:szCs w:val="24"/>
    </w:rPr>
  </w:style>
  <w:style w:type="paragraph" w:styleId="1074" w:customStyle="1">
    <w:name w:val="xl124"/>
    <w:basedOn w:val="690"/>
    <w:uiPriority w:val="99"/>
    <w:qFormat/>
    <w:pPr>
      <w:jc w:val="left"/>
      <w:spacing w:before="100" w:beforeAutospacing="1" w:after="100" w:afterAutospacing="1"/>
      <w:shd w:val="clear" w:color="auto" w:fill="ffffff"/>
      <w:widowControl/>
      <w:pBdr>
        <w:left w:val="single" w:color="000000" w:sz="4" w:space="0"/>
        <w:right w:val="single" w:color="000000" w:sz="4" w:space="0"/>
      </w:pBdr>
    </w:pPr>
    <w:rPr>
      <w:rFonts w:ascii="宋体" w:hAnsi="宋体" w:eastAsia="宋体" w:cs="宋体"/>
      <w:b/>
      <w:bCs/>
      <w:sz w:val="24"/>
      <w:szCs w:val="24"/>
    </w:rPr>
  </w:style>
  <w:style w:type="paragraph" w:styleId="1075" w:customStyle="1">
    <w:name w:val="xl76"/>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76" w:customStyle="1">
    <w:name w:val="xl24270"/>
    <w:basedOn w:val="69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rPr>
  </w:style>
  <w:style w:type="paragraph" w:styleId="1077" w:customStyle="1">
    <w:name w:val="xl41297"/>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78" w:customStyle="1">
    <w:name w:val="reader-word-layer reader-word-s7-11"/>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1079" w:customStyle="1">
    <w:name w:val="xl98"/>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80" w:customStyle="1">
    <w:name w:val="xl41331"/>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81" w:customStyle="1">
    <w:name w:val="xl135"/>
    <w:basedOn w:val="69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82" w:customStyle="1">
    <w:name w:val="列出段落2"/>
    <w:basedOn w:val="690"/>
    <w:uiPriority w:val="99"/>
    <w:qFormat/>
    <w:pPr>
      <w:ind w:firstLine="420"/>
    </w:pPr>
    <w:rPr>
      <w:sz w:val="26"/>
    </w:rPr>
  </w:style>
  <w:style w:type="paragraph" w:styleId="1083" w:customStyle="1">
    <w:name w:val="xl24236"/>
    <w:basedOn w:val="69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rPr>
  </w:style>
  <w:style w:type="paragraph" w:styleId="1084" w:customStyle="1">
    <w:name w:val="2级方案标题"/>
    <w:basedOn w:val="692"/>
    <w:uiPriority w:val="99"/>
    <w:qFormat/>
    <w:pPr>
      <w:jc w:val="both"/>
      <w:spacing w:before="100" w:beforeAutospacing="1" w:after="100" w:afterAutospacing="1"/>
      <w:tabs>
        <w:tab w:val="left" w:pos="1002" w:leader="none"/>
        <w:tab w:val="left" w:pos="2717" w:leader="none"/>
      </w:tabs>
    </w:pPr>
    <w:rPr>
      <w:rFonts w:eastAsia="宋体" w:cs="Times New Roman"/>
      <w:color w:val="000000"/>
      <w:sz w:val="32"/>
      <w:szCs w:val="32"/>
    </w:rPr>
  </w:style>
  <w:style w:type="paragraph" w:styleId="1085" w:customStyle="1">
    <w:name w:val="xl41300"/>
    <w:basedOn w:val="690"/>
    <w:uiPriority w:val="99"/>
    <w:qFormat/>
    <w:pPr>
      <w:jc w:val="center"/>
      <w:spacing w:before="100" w:beforeAutospacing="1" w:after="100" w:afterAutospacing="1"/>
      <w:widowControl/>
    </w:pPr>
    <w:rPr>
      <w:rFonts w:ascii="宋体" w:hAnsi="宋体" w:eastAsia="宋体" w:cs="宋体"/>
      <w:sz w:val="24"/>
      <w:szCs w:val="24"/>
    </w:rPr>
  </w:style>
  <w:style w:type="paragraph" w:styleId="1086" w:customStyle="1">
    <w:name w:val="xl24253"/>
    <w:basedOn w:val="690"/>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0"/>
    </w:rPr>
  </w:style>
  <w:style w:type="paragraph" w:styleId="1087" w:customStyle="1">
    <w:name w:val="xl24235"/>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88" w:customStyle="1">
    <w:name w:val="xl41333"/>
    <w:basedOn w:val="690"/>
    <w:uiPriority w:val="99"/>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000000"/>
      <w:sz w:val="20"/>
    </w:rPr>
  </w:style>
  <w:style w:type="paragraph" w:styleId="1089" w:customStyle="1">
    <w:name w:val="xl41332"/>
    <w:basedOn w:val="690"/>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rPr>
  </w:style>
  <w:style w:type="paragraph" w:styleId="1090" w:customStyle="1">
    <w:name w:val="font5"/>
    <w:basedOn w:val="690"/>
    <w:uiPriority w:val="99"/>
    <w:qFormat/>
    <w:pPr>
      <w:jc w:val="left"/>
      <w:spacing w:before="100" w:beforeAutospacing="1" w:after="100" w:afterAutospacing="1"/>
      <w:widowControl/>
    </w:pPr>
    <w:rPr>
      <w:rFonts w:ascii="宋体" w:hAnsi="宋体" w:eastAsia="宋体" w:cs="宋体"/>
      <w:sz w:val="18"/>
      <w:szCs w:val="18"/>
    </w:rPr>
  </w:style>
  <w:style w:type="paragraph" w:styleId="1091" w:customStyle="1">
    <w:name w:val="修订1"/>
    <w:uiPriority w:val="99"/>
    <w:semiHidden/>
    <w:qFormat/>
    <w:rPr>
      <w:rFonts w:ascii="Times New Roman" w:hAnsi="Times New Roman" w:eastAsia="楷体_GB2312" w:cs="Times New Roman"/>
      <w:sz w:val="28"/>
      <w:lang w:val="en-US" w:eastAsia="zh-CN" w:bidi="ar-SA"/>
    </w:rPr>
  </w:style>
  <w:style w:type="paragraph" w:styleId="1092" w:customStyle="1">
    <w:name w:val="xl91"/>
    <w:basedOn w:val="690"/>
    <w:uiPriority w:val="99"/>
    <w:qFormat/>
    <w:pPr>
      <w:jc w:val="left"/>
      <w:spacing w:before="100" w:beforeAutospacing="1" w:after="100" w:afterAutospacing="1"/>
      <w:shd w:val="clear" w:color="auto" w:fill="ffffff"/>
      <w:widowControl/>
    </w:pPr>
    <w:rPr>
      <w:rFonts w:ascii="宋体" w:hAnsi="宋体" w:eastAsia="宋体" w:cs="宋体"/>
      <w:sz w:val="24"/>
      <w:szCs w:val="24"/>
    </w:rPr>
  </w:style>
  <w:style w:type="paragraph" w:styleId="1093" w:customStyle="1">
    <w:name w:val="xl90"/>
    <w:basedOn w:val="690"/>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94" w:customStyle="1">
    <w:name w:val="xl41323"/>
    <w:basedOn w:val="690"/>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95" w:customStyle="1">
    <w:name w:val="xl132"/>
    <w:basedOn w:val="690"/>
    <w:uiPriority w:val="99"/>
    <w:qFormat/>
    <w:pPr>
      <w:jc w:val="center"/>
      <w:spacing w:before="100" w:beforeAutospacing="1" w:after="100" w:afterAutospacing="1"/>
      <w:shd w:val="clear" w:color="auto" w:fill="ffffff"/>
      <w:widowControl/>
      <w:pBdr>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96" w:customStyle="1">
    <w:name w:val="Char2 Char Char Char Char Char Char Char Char Char"/>
    <w:basedOn w:val="690"/>
    <w:uiPriority w:val="99"/>
    <w:qFormat/>
    <w:pPr>
      <w:ind w:firstLine="200"/>
      <w:spacing w:line="360" w:lineRule="auto"/>
    </w:pPr>
  </w:style>
  <w:style w:type="paragraph" w:styleId="1097" w:customStyle="1">
    <w:name w:val="xl41335"/>
    <w:basedOn w:val="690"/>
    <w:uiPriority w:val="99"/>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0"/>
    </w:rPr>
  </w:style>
  <w:style w:type="paragraph" w:styleId="1098" w:customStyle="1">
    <w:name w:val="xl41295"/>
    <w:basedOn w:val="690"/>
    <w:uiPriority w:val="99"/>
    <w:qFormat/>
    <w:pPr>
      <w:jc w:val="left"/>
      <w:spacing w:before="100" w:beforeAutospacing="1" w:after="100" w:afterAutospacing="1"/>
      <w:widowControl/>
    </w:pPr>
    <w:rPr>
      <w:rFonts w:ascii="宋体" w:hAnsi="宋体" w:eastAsia="宋体" w:cs="宋体"/>
      <w:b/>
      <w:bCs/>
      <w:sz w:val="24"/>
      <w:szCs w:val="24"/>
    </w:rPr>
  </w:style>
  <w:style w:type="paragraph" w:styleId="1099" w:customStyle="1">
    <w:name w:val="4级方案标题"/>
    <w:basedOn w:val="690"/>
    <w:uiPriority w:val="99"/>
    <w:qFormat/>
    <w:pPr>
      <w:spacing w:before="100" w:beforeAutospacing="1" w:after="100" w:afterAutospacing="1" w:line="360" w:lineRule="auto"/>
      <w:outlineLvl w:val="3"/>
    </w:pPr>
    <w:rPr>
      <w:rFonts w:ascii="等线" w:hAnsi="等线" w:eastAsia="宋体"/>
      <w:b/>
      <w:sz w:val="24"/>
      <w:szCs w:val="28"/>
    </w:rPr>
  </w:style>
  <w:style w:type="paragraph" w:styleId="1100" w:customStyle="1">
    <w:name w:val="xl24233"/>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01" w:customStyle="1">
    <w:name w:val="xl41337"/>
    <w:basedOn w:val="69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rPr>
  </w:style>
  <w:style w:type="paragraph" w:styleId="1102" w:customStyle="1">
    <w:name w:val="首行缩进"/>
    <w:basedOn w:val="690"/>
    <w:uiPriority w:val="99"/>
    <w:qFormat/>
    <w:pPr>
      <w:ind w:firstLine="480"/>
    </w:pPr>
    <w:rPr>
      <w:rFonts w:ascii="宋体" w:hAnsi="宋体"/>
      <w:szCs w:val="24"/>
      <w:lang w:val="zh-CN"/>
    </w:rPr>
  </w:style>
  <w:style w:type="paragraph" w:styleId="1103" w:customStyle="1">
    <w:name w:val="xl114"/>
    <w:basedOn w:val="690"/>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4"/>
      <w:szCs w:val="24"/>
    </w:rPr>
  </w:style>
  <w:style w:type="paragraph" w:styleId="1104" w:customStyle="1">
    <w:name w:val="xl86"/>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05" w:customStyle="1">
    <w:name w:val="xl24239"/>
    <w:basedOn w:val="69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106" w:customStyle="1">
    <w:name w:val="xl41321"/>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07" w:customStyle="1">
    <w:name w:val="xl41338"/>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08" w:customStyle="1">
    <w:name w:val="xl24266"/>
    <w:basedOn w:val="690"/>
    <w:uiPriority w:val="99"/>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32"/>
      <w:szCs w:val="32"/>
    </w:rPr>
  </w:style>
  <w:style w:type="paragraph" w:styleId="1109" w:customStyle="1">
    <w:name w:val="xl119"/>
    <w:basedOn w:val="69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110" w:customStyle="1">
    <w:name w:val="xl24240"/>
    <w:basedOn w:val="690"/>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rPr>
  </w:style>
  <w:style w:type="paragraph" w:styleId="1111" w:customStyle="1">
    <w:name w:val="xl24237"/>
    <w:basedOn w:val="69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112" w:customStyle="1">
    <w:name w:val="xl134"/>
    <w:basedOn w:val="69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4"/>
      <w:szCs w:val="24"/>
    </w:rPr>
  </w:style>
  <w:style w:type="paragraph" w:styleId="1113" w:customStyle="1">
    <w:name w:val="纯文本3"/>
    <w:basedOn w:val="690"/>
    <w:uiPriority w:val="99"/>
    <w:qFormat/>
    <w:rPr>
      <w:rFonts w:ascii="宋体" w:hAnsi="Courier New"/>
      <w:sz w:val="26"/>
    </w:rPr>
  </w:style>
  <w:style w:type="paragraph" w:styleId="1114" w:customStyle="1">
    <w:name w:val="xl41327"/>
    <w:basedOn w:val="69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rPr>
  </w:style>
  <w:style w:type="paragraph" w:styleId="1115" w:customStyle="1">
    <w:name w:val="1级方案标题"/>
    <w:basedOn w:val="690"/>
    <w:uiPriority w:val="99"/>
    <w:qFormat/>
    <w:pPr>
      <w:jc w:val="center"/>
      <w:keepLines/>
      <w:keepNext/>
      <w:spacing w:before="340" w:after="330" w:line="360" w:lineRule="auto"/>
      <w:tabs>
        <w:tab w:val="left" w:pos="1418" w:leader="none"/>
      </w:tabs>
      <w:outlineLvl w:val="0"/>
    </w:pPr>
    <w:rPr>
      <w:rFonts w:ascii="宋体" w:hAnsi="宋体" w:eastAsia="宋体"/>
      <w:b/>
      <w:bCs/>
      <w:sz w:val="44"/>
      <w:szCs w:val="44"/>
    </w:rPr>
  </w:style>
  <w:style w:type="paragraph" w:styleId="1116" w:customStyle="1">
    <w:name w:val="xl82"/>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117" w:customStyle="1">
    <w:name w:val="xl41309"/>
    <w:basedOn w:val="690"/>
    <w:uiPriority w:val="99"/>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18" w:customStyle="1">
    <w:name w:val="xl24242"/>
    <w:basedOn w:val="690"/>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rPr>
  </w:style>
  <w:style w:type="paragraph" w:styleId="1119" w:customStyle="1">
    <w:name w:val="xl95"/>
    <w:basedOn w:val="690"/>
    <w:uiPriority w:val="99"/>
    <w:qFormat/>
    <w:pPr>
      <w:jc w:val="left"/>
      <w:spacing w:before="100" w:beforeAutospacing="1" w:after="100" w:afterAutospacing="1"/>
      <w:shd w:val="clear" w:color="auto"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120" w:customStyle="1">
    <w:name w:val="xl102"/>
    <w:basedOn w:val="690"/>
    <w:uiPriority w:val="99"/>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121" w:customStyle="1">
    <w:name w:val="xl123"/>
    <w:basedOn w:val="690"/>
    <w:uiPriority w:val="99"/>
    <w:qFormat/>
    <w:pPr>
      <w:jc w:val="left"/>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ascii="宋体" w:hAnsi="宋体" w:eastAsia="宋体" w:cs="宋体"/>
      <w:b/>
      <w:bCs/>
      <w:sz w:val="24"/>
      <w:szCs w:val="24"/>
    </w:rPr>
  </w:style>
  <w:style w:type="paragraph" w:styleId="1122" w:customStyle="1">
    <w:name w:val="xl24260"/>
    <w:basedOn w:val="690"/>
    <w:uiPriority w:val="99"/>
    <w:qFormat/>
    <w:pPr>
      <w:jc w:val="center"/>
      <w:spacing w:before="100" w:beforeAutospacing="1" w:after="100" w:afterAutospacing="1"/>
      <w:widowControl/>
      <w:pBdr>
        <w:top w:val="single" w:color="000000" w:sz="4" w:space="0"/>
        <w:right w:val="single" w:color="000000" w:sz="4" w:space="0"/>
      </w:pBdr>
    </w:pPr>
    <w:rPr>
      <w:rFonts w:ascii="宋体" w:hAnsi="宋体" w:eastAsia="宋体" w:cs="宋体"/>
      <w:sz w:val="20"/>
    </w:rPr>
  </w:style>
  <w:style w:type="paragraph" w:styleId="1123" w:customStyle="1">
    <w:name w:val="xl24232"/>
    <w:basedOn w:val="690"/>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24" w:customStyle="1">
    <w:name w:val="xl24238"/>
    <w:basedOn w:val="69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125" w:customStyle="1">
    <w:name w:val="xl24225"/>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26" w:customStyle="1">
    <w:name w:val="xl78"/>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27" w:customStyle="1">
    <w:name w:val="xl24230"/>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28" w:customStyle="1">
    <w:name w:val="xl24261"/>
    <w:basedOn w:val="690"/>
    <w:uiPriority w:val="99"/>
    <w:qFormat/>
    <w:pPr>
      <w:jc w:val="center"/>
      <w:spacing w:before="100" w:beforeAutospacing="1" w:after="100" w:afterAutospacing="1"/>
      <w:widowControl/>
      <w:pBdr>
        <w:left w:val="single" w:color="000000" w:sz="4" w:space="0"/>
      </w:pBdr>
    </w:pPr>
    <w:rPr>
      <w:rFonts w:ascii="宋体" w:hAnsi="宋体" w:eastAsia="宋体" w:cs="宋体"/>
      <w:sz w:val="20"/>
    </w:rPr>
  </w:style>
  <w:style w:type="paragraph" w:styleId="1129" w:customStyle="1">
    <w:name w:val="Char Char1 Char Char Char Char Char Char Char"/>
    <w:basedOn w:val="690"/>
    <w:uiPriority w:val="99"/>
    <w:qFormat/>
    <w:rPr>
      <w:rFonts w:eastAsia="宋体"/>
      <w:sz w:val="21"/>
    </w:rPr>
  </w:style>
  <w:style w:type="paragraph" w:styleId="1130" w:customStyle="1">
    <w:name w:val="xl24231"/>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31" w:customStyle="1">
    <w:name w:val="Char Char Char Char Char Char Char Char1 Char Char Char Char"/>
    <w:basedOn w:val="707"/>
    <w:uiPriority w:val="99"/>
    <w:qFormat/>
    <w:pPr>
      <w:spacing w:line="360" w:lineRule="auto"/>
    </w:pPr>
  </w:style>
  <w:style w:type="paragraph" w:styleId="1132" w:customStyle="1">
    <w:name w:val="Char Char Char Char Char Char Char Char Char"/>
    <w:basedOn w:val="690"/>
    <w:uiPriority w:val="99"/>
    <w:qFormat/>
    <w:pPr>
      <w:jc w:val="left"/>
      <w:spacing w:after="160" w:line="240" w:lineRule="exact"/>
      <w:widowControl/>
    </w:pPr>
    <w:rPr>
      <w:rFonts w:eastAsia="宋体"/>
      <w:sz w:val="24"/>
      <w:szCs w:val="24"/>
    </w:rPr>
  </w:style>
  <w:style w:type="paragraph" w:styleId="1133" w:customStyle="1">
    <w:name w:val="xl41306"/>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34" w:customStyle="1">
    <w:name w:val="xl99"/>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135" w:customStyle="1">
    <w:name w:val="xl24267"/>
    <w:basedOn w:val="690"/>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32"/>
      <w:szCs w:val="32"/>
    </w:rPr>
  </w:style>
  <w:style w:type="paragraph" w:styleId="1136" w:customStyle="1">
    <w:name w:val="Plain Text2"/>
    <w:basedOn w:val="690"/>
    <w:uiPriority w:val="99"/>
    <w:qFormat/>
    <w:rPr>
      <w:rFonts w:ascii="宋体" w:hAnsi="Courier New"/>
      <w:sz w:val="26"/>
      <w:szCs w:val="24"/>
    </w:rPr>
  </w:style>
  <w:style w:type="paragraph" w:styleId="1137" w:customStyle="1">
    <w:name w:val="xl101"/>
    <w:basedOn w:val="690"/>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138" w:customStyle="1">
    <w:name w:val="xl41329"/>
    <w:basedOn w:val="69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rPr>
  </w:style>
  <w:style w:type="paragraph" w:styleId="1139" w:customStyle="1">
    <w:name w:val="xl80"/>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40" w:customStyle="1">
    <w:name w:val="xl24249"/>
    <w:basedOn w:val="69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rPr>
  </w:style>
  <w:style w:type="paragraph" w:styleId="1141" w:customStyle="1">
    <w:name w:val="xl24226"/>
    <w:basedOn w:val="690"/>
    <w:uiPriority w:val="99"/>
    <w:qFormat/>
    <w:pPr>
      <w:jc w:val="center"/>
      <w:spacing w:before="100" w:beforeAutospacing="1" w:after="100" w:afterAutospacing="1"/>
      <w:shd w:val="clear" w:color="auto" w:fill="acb9ca"/>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42" w:customStyle="1">
    <w:name w:val="xl24271"/>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43" w:customStyle="1">
    <w:name w:val="xl105"/>
    <w:basedOn w:val="690"/>
    <w:uiPriority w:val="99"/>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144" w:customStyle="1">
    <w:name w:val="xl41310"/>
    <w:basedOn w:val="690"/>
    <w:uiPriority w:val="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5" w:customStyle="1">
    <w:name w:val="xl121"/>
    <w:basedOn w:val="690"/>
    <w:uiPriority w:val="99"/>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146" w:customStyle="1">
    <w:name w:val="正文2"/>
    <w:basedOn w:val="690"/>
    <w:uiPriority w:val="99"/>
    <w:qFormat/>
    <w:pPr>
      <w:ind w:firstLine="200"/>
      <w:jc w:val="left"/>
      <w:spacing w:after="160" w:line="360" w:lineRule="auto"/>
      <w:widowControl/>
    </w:pPr>
    <w:rPr>
      <w:rFonts w:ascii="Verdana" w:hAnsi="Verdana" w:eastAsia="黑体"/>
      <w:sz w:val="21"/>
      <w:lang w:eastAsia="en-US"/>
    </w:rPr>
  </w:style>
  <w:style w:type="paragraph" w:styleId="1147" w:customStyle="1">
    <w:name w:val="xl96"/>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48" w:customStyle="1">
    <w:name w:val="xl75"/>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1149" w:customStyle="1">
    <w:name w:val="Char Char Char Char Char Char Char Char Char1 Char1"/>
    <w:basedOn w:val="707"/>
    <w:uiPriority w:val="99"/>
    <w:qFormat/>
    <w:pPr>
      <w:spacing w:line="360" w:lineRule="auto"/>
    </w:pPr>
    <w:rPr>
      <w:rFonts w:ascii="Tahoma" w:hAnsi="Tahoma" w:eastAsia="宋体"/>
      <w:sz w:val="24"/>
      <w:szCs w:val="24"/>
    </w:rPr>
  </w:style>
  <w:style w:type="paragraph" w:styleId="1150" w:customStyle="1">
    <w:name w:val="xl24250"/>
    <w:basedOn w:val="69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0"/>
    </w:rPr>
  </w:style>
  <w:style w:type="paragraph" w:styleId="1151" w:customStyle="1">
    <w:name w:val="xl70"/>
    <w:basedOn w:val="690"/>
    <w:uiPriority w:val="99"/>
    <w:qFormat/>
    <w:pPr>
      <w:jc w:val="left"/>
      <w:spacing w:before="100" w:beforeAutospacing="1" w:after="100" w:afterAutospacing="1"/>
      <w:shd w:val="clear" w:color="auto" w:fill="ffffff"/>
      <w:widowControl/>
    </w:pPr>
    <w:rPr>
      <w:rFonts w:ascii="宋体" w:hAnsi="宋体" w:eastAsia="宋体" w:cs="宋体"/>
      <w:sz w:val="24"/>
      <w:szCs w:val="24"/>
    </w:rPr>
  </w:style>
  <w:style w:type="paragraph" w:styleId="1152" w:customStyle="1">
    <w:name w:val="xl24252"/>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sz w:val="20"/>
    </w:rPr>
  </w:style>
  <w:style w:type="paragraph" w:styleId="1153" w:customStyle="1">
    <w:name w:val="xl41326"/>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54" w:customStyle="1">
    <w:name w:val="Char Char Char Char Char Char Char Char Char Char1"/>
    <w:basedOn w:val="690"/>
    <w:uiPriority w:val="99"/>
    <w:qFormat/>
    <w:pPr>
      <w:ind w:left="420" w:hanging="420"/>
      <w:tabs>
        <w:tab w:val="left" w:pos="420" w:leader="none"/>
      </w:tabs>
    </w:pPr>
    <w:rPr>
      <w:rFonts w:eastAsia="宋体"/>
      <w:sz w:val="24"/>
      <w:szCs w:val="24"/>
    </w:rPr>
  </w:style>
  <w:style w:type="paragraph" w:styleId="1155" w:customStyle="1">
    <w:name w:val="xl87"/>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156" w:customStyle="1">
    <w:name w:val="xl41298"/>
    <w:basedOn w:val="690"/>
    <w:uiPriority w:val="99"/>
    <w:qFormat/>
    <w:pPr>
      <w:jc w:val="left"/>
      <w:spacing w:before="100" w:beforeAutospacing="1" w:after="100" w:afterAutospacing="1"/>
      <w:widowControl/>
    </w:pPr>
    <w:rPr>
      <w:rFonts w:ascii="宋体" w:hAnsi="宋体" w:eastAsia="宋体" w:cs="宋体"/>
      <w:b/>
      <w:bCs/>
      <w:sz w:val="24"/>
      <w:szCs w:val="24"/>
    </w:rPr>
  </w:style>
  <w:style w:type="paragraph" w:styleId="1157" w:customStyle="1">
    <w:name w:val="_Style 30"/>
    <w:basedOn w:val="690"/>
    <w:next w:val="713"/>
    <w:uiPriority w:val="99"/>
    <w:qFormat/>
    <w:rPr>
      <w:rFonts w:ascii="宋体" w:hAnsi="Courier New" w:eastAsia="宋体"/>
      <w:sz w:val="21"/>
    </w:rPr>
  </w:style>
  <w:style w:type="paragraph" w:styleId="1158" w:customStyle="1">
    <w:name w:val="xl41296"/>
    <w:basedOn w:val="690"/>
    <w:uiPriority w:val="99"/>
    <w:qFormat/>
    <w:pPr>
      <w:jc w:val="center"/>
      <w:spacing w:before="100" w:beforeAutospacing="1" w:after="100" w:afterAutospacing="1"/>
      <w:widowControl/>
    </w:pPr>
    <w:rPr>
      <w:rFonts w:ascii="宋体" w:hAnsi="宋体" w:eastAsia="宋体" w:cs="宋体"/>
      <w:sz w:val="24"/>
      <w:szCs w:val="24"/>
    </w:rPr>
  </w:style>
  <w:style w:type="paragraph" w:styleId="1159" w:customStyle="1">
    <w:name w:val="Char Char1 Char"/>
    <w:basedOn w:val="707"/>
    <w:uiPriority w:val="99"/>
    <w:qFormat/>
    <w:pPr>
      <w:spacing w:line="360" w:lineRule="auto"/>
    </w:pPr>
    <w:rPr>
      <w:rFonts w:ascii="Tahoma" w:hAnsi="Tahoma" w:eastAsia="宋体"/>
      <w:sz w:val="24"/>
      <w:szCs w:val="24"/>
    </w:rPr>
  </w:style>
  <w:style w:type="paragraph" w:styleId="1160" w:customStyle="1">
    <w:name w:val="xl41313"/>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61" w:customStyle="1">
    <w:name w:val="xl41302"/>
    <w:basedOn w:val="690"/>
    <w:uiPriority w:val="99"/>
    <w:qFormat/>
    <w:pPr>
      <w:jc w:val="left"/>
      <w:spacing w:before="100" w:beforeAutospacing="1" w:after="100" w:afterAutospacing="1"/>
      <w:shd w:val="clear" w:color="auto" w:fill="b6dde8"/>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162" w:customStyle="1">
    <w:name w:val="xl131"/>
    <w:basedOn w:val="690"/>
    <w:uiPriority w:val="99"/>
    <w:qFormat/>
    <w:pPr>
      <w:jc w:val="center"/>
      <w:spacing w:before="100" w:beforeAutospacing="1" w:after="100" w:afterAutospacing="1"/>
      <w:shd w:val="clear" w:color="auto" w:fill="ffffff"/>
      <w:widowControl/>
      <w:pBdr>
        <w:left w:val="single" w:color="000000" w:sz="4" w:space="0"/>
        <w:right w:val="single" w:color="000000" w:sz="4" w:space="0"/>
      </w:pBdr>
    </w:pPr>
    <w:rPr>
      <w:rFonts w:ascii="宋体" w:hAnsi="宋体" w:eastAsia="宋体" w:cs="宋体"/>
      <w:b/>
      <w:bCs/>
      <w:sz w:val="24"/>
      <w:szCs w:val="24"/>
    </w:rPr>
  </w:style>
  <w:style w:type="paragraph" w:styleId="1163" w:customStyle="1">
    <w:name w:val="font6"/>
    <w:basedOn w:val="690"/>
    <w:uiPriority w:val="99"/>
    <w:qFormat/>
    <w:pPr>
      <w:jc w:val="left"/>
      <w:spacing w:before="100" w:beforeAutospacing="1" w:after="100" w:afterAutospacing="1"/>
      <w:widowControl/>
    </w:pPr>
    <w:rPr>
      <w:rFonts w:ascii="宋体" w:hAnsi="宋体" w:eastAsia="宋体" w:cs="宋体"/>
      <w:sz w:val="20"/>
    </w:rPr>
  </w:style>
  <w:style w:type="paragraph" w:styleId="1164" w:customStyle="1">
    <w:name w:val="xl120"/>
    <w:basedOn w:val="690"/>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165" w:customStyle="1">
    <w:name w:val="xl89"/>
    <w:basedOn w:val="690"/>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66" w:customStyle="1">
    <w:name w:val="xl41305"/>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67" w:customStyle="1">
    <w:name w:val="xl41315"/>
    <w:basedOn w:val="690"/>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68" w:customStyle="1">
    <w:name w:val="xl122"/>
    <w:basedOn w:val="690"/>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169" w:customStyle="1">
    <w:name w:val="xl92"/>
    <w:basedOn w:val="690"/>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70" w:customStyle="1">
    <w:name w:val="xl24251"/>
    <w:basedOn w:val="69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rPr>
  </w:style>
  <w:style w:type="paragraph" w:styleId="1171" w:customStyle="1">
    <w:name w:val="xl94"/>
    <w:basedOn w:val="690"/>
    <w:uiPriority w:val="99"/>
    <w:qFormat/>
    <w:pPr>
      <w:jc w:val="left"/>
      <w:spacing w:before="100" w:beforeAutospacing="1" w:after="100" w:afterAutospacing="1"/>
      <w:shd w:val="clear" w:color="auto" w:fill="ffffff"/>
      <w:widowControl/>
    </w:pPr>
    <w:rPr>
      <w:rFonts w:ascii="微软雅黑" w:hAnsi="微软雅黑" w:eastAsia="微软雅黑" w:cs="宋体"/>
      <w:sz w:val="20"/>
    </w:rPr>
  </w:style>
  <w:style w:type="paragraph" w:styleId="1172" w:customStyle="1">
    <w:name w:val="xl41303"/>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73" w:customStyle="1">
    <w:name w:val="font1"/>
    <w:basedOn w:val="690"/>
    <w:uiPriority w:val="99"/>
    <w:qFormat/>
    <w:pPr>
      <w:jc w:val="left"/>
      <w:spacing w:before="100" w:beforeAutospacing="1" w:after="100" w:afterAutospacing="1"/>
      <w:widowControl/>
    </w:pPr>
    <w:rPr>
      <w:rFonts w:ascii="宋体" w:hAnsi="宋体" w:eastAsia="宋体" w:cs="宋体"/>
      <w:color w:val="000000"/>
      <w:sz w:val="22"/>
      <w:szCs w:val="22"/>
    </w:rPr>
  </w:style>
  <w:style w:type="paragraph" w:styleId="1174" w:customStyle="1">
    <w:name w:val="修订2"/>
    <w:uiPriority w:val="0"/>
    <w:qFormat/>
    <w:rPr>
      <w:rFonts w:ascii="Times New Roman" w:hAnsi="Times New Roman" w:eastAsia="楷体_GB2312" w:cs="Times New Roman"/>
      <w:sz w:val="28"/>
      <w:lang w:val="en-US" w:eastAsia="zh-CN" w:bidi="ar-SA"/>
    </w:rPr>
  </w:style>
  <w:style w:type="paragraph" w:styleId="1175" w:customStyle="1">
    <w:name w:val="一级条标题"/>
    <w:next w:val="973"/>
    <w:uiPriority w:val="99"/>
    <w:qFormat/>
    <w:pPr>
      <w:outlineLvl w:val="2"/>
    </w:pPr>
    <w:rPr>
      <w:rFonts w:ascii="黑体" w:hAnsi="Times New Roman" w:eastAsia="黑体" w:cs="Times New Roman"/>
      <w:sz w:val="21"/>
      <w:szCs w:val="21"/>
      <w:lang w:val="en-US" w:eastAsia="zh-CN" w:bidi="ar-SA"/>
    </w:rPr>
  </w:style>
  <w:style w:type="paragraph" w:styleId="1176" w:customStyle="1">
    <w:name w:val="Normal_0_2"/>
    <w:uiPriority w:val="99"/>
    <w:qFormat/>
    <w:rPr>
      <w:rFonts w:ascii="Calibri" w:hAnsi="Calibri" w:eastAsia="Times New Roman" w:cs="Times New Roman"/>
      <w:sz w:val="24"/>
      <w:szCs w:val="24"/>
      <w:lang w:val="en-US" w:eastAsia="zh-CN" w:bidi="ar-SA"/>
    </w:rPr>
  </w:style>
  <w:style w:type="paragraph" w:styleId="1177" w:customStyle="1">
    <w:name w:val="普通正文"/>
    <w:basedOn w:val="690"/>
    <w:uiPriority w:val="99"/>
    <w:qFormat/>
    <w:pPr>
      <w:ind w:firstLine="480"/>
      <w:jc w:val="left"/>
      <w:spacing w:before="120" w:after="120" w:line="360" w:lineRule="auto"/>
    </w:pPr>
    <w:rPr>
      <w:rFonts w:ascii="Arial" w:hAnsi="Arial"/>
      <w:sz w:val="24"/>
    </w:rPr>
  </w:style>
  <w:style w:type="paragraph" w:styleId="1178" w:customStyle="1">
    <w:name w:val="Normal_19"/>
    <w:uiPriority w:val="99"/>
    <w:qFormat/>
    <w:rPr>
      <w:rFonts w:ascii="Calibri" w:hAnsi="Calibri" w:eastAsia="Times New Roman" w:cs="Times New Roman"/>
      <w:sz w:val="24"/>
      <w:szCs w:val="24"/>
      <w:lang w:val="en-US" w:eastAsia="zh-CN" w:bidi="ar-SA"/>
    </w:rPr>
  </w:style>
  <w:style w:type="paragraph" w:styleId="1179" w:customStyle="1">
    <w:name w:val="修订3"/>
    <w:uiPriority w:val="99"/>
    <w:qFormat/>
    <w:rPr>
      <w:rFonts w:ascii="Times New Roman" w:hAnsi="Times New Roman" w:eastAsia="楷体_GB2312" w:cs="Times New Roman"/>
      <w:sz w:val="28"/>
      <w:lang w:val="en-US" w:eastAsia="zh-CN" w:bidi="ar-SA"/>
    </w:rPr>
  </w:style>
  <w:style w:type="character" w:styleId="1180" w:customStyle="1">
    <w:name w:val="批注主题 Char1"/>
    <w:uiPriority w:val="99"/>
    <w:semiHidden/>
    <w:qFormat/>
    <w:rPr>
      <w:rFonts w:hint="eastAsia" w:ascii="楷体_GB2312" w:eastAsia="楷体_GB2312"/>
      <w:b/>
      <w:bCs/>
      <w:sz w:val="28"/>
    </w:rPr>
  </w:style>
  <w:style w:type="character" w:styleId="1181" w:customStyle="1">
    <w:name w:val="font41"/>
    <w:uiPriority w:val="0"/>
    <w:qFormat/>
    <w:rPr>
      <w:rFonts w:hint="eastAsia" w:ascii="宋体" w:hAnsi="宋体" w:eastAsia="宋体" w:cs="宋体"/>
      <w:color w:val="000000"/>
      <w:sz w:val="20"/>
      <w:szCs w:val="20"/>
      <w:u w:val="none"/>
    </w:rPr>
  </w:style>
  <w:style w:type="character" w:styleId="1182" w:customStyle="1">
    <w:name w:val="font01"/>
    <w:uiPriority w:val="0"/>
    <w:qFormat/>
    <w:rPr>
      <w:rFonts w:hint="eastAsia" w:ascii="宋体" w:hAnsi="宋体" w:eastAsia="宋体" w:cs="宋体"/>
      <w:color w:val="ff0000"/>
      <w:sz w:val="22"/>
      <w:szCs w:val="22"/>
      <w:u w:val="none"/>
    </w:rPr>
  </w:style>
  <w:style w:type="character" w:styleId="1183" w:customStyle="1">
    <w:name w:val="标题 1 Char"/>
    <w:uiPriority w:val="0"/>
    <w:qFormat/>
    <w:rPr>
      <w:rFonts w:hint="eastAsia" w:ascii="楷体_GB2312" w:eastAsia="楷体_GB2312"/>
      <w:b/>
      <w:bCs/>
      <w:sz w:val="44"/>
      <w:szCs w:val="44"/>
    </w:rPr>
  </w:style>
  <w:style w:type="character" w:styleId="1184" w:customStyle="1">
    <w:name w:val="Char Char1"/>
    <w:uiPriority w:val="0"/>
    <w:qFormat/>
    <w:rPr>
      <w:rFonts w:hint="eastAsia" w:ascii="宋体" w:hAnsi="宋体" w:eastAsia="楷体_GB2312"/>
      <w:sz w:val="24"/>
      <w:lang w:val="en-US" w:eastAsia="zh-CN" w:bidi="ar-SA"/>
    </w:rPr>
  </w:style>
  <w:style w:type="character" w:styleId="1185" w:customStyle="1">
    <w:name w:val="font11"/>
    <w:uiPriority w:val="0"/>
    <w:qFormat/>
    <w:rPr>
      <w:rFonts w:hint="eastAsia" w:ascii="宋体" w:hAnsi="宋体" w:eastAsia="宋体" w:cs="宋体"/>
      <w:color w:val="000000"/>
      <w:sz w:val="22"/>
      <w:szCs w:val="22"/>
      <w:u w:val="none"/>
    </w:rPr>
  </w:style>
  <w:style w:type="character" w:styleId="1186" w:customStyle="1">
    <w:name w:val="表正文 Char"/>
    <w:uiPriority w:val="0"/>
    <w:qFormat/>
    <w:rPr>
      <w:rFonts w:hint="eastAsia" w:ascii="楷体_GB2312" w:eastAsia="楷体_GB2312"/>
      <w:sz w:val="24"/>
      <w:lang w:val="en-US" w:eastAsia="zh-CN" w:bidi="ar-SA"/>
    </w:rPr>
  </w:style>
  <w:style w:type="character" w:styleId="1187" w:customStyle="1">
    <w:name w:val="日期 Char1"/>
    <w:uiPriority w:val="0"/>
    <w:qFormat/>
    <w:rPr>
      <w:rFonts w:hint="eastAsia" w:ascii="楷体_GB2312" w:eastAsia="楷体_GB2312"/>
      <w:sz w:val="28"/>
    </w:rPr>
  </w:style>
  <w:style w:type="character" w:styleId="1188" w:customStyle="1">
    <w:name w:val="font21"/>
    <w:uiPriority w:val="0"/>
    <w:qFormat/>
    <w:rPr>
      <w:rFonts w:hint="eastAsia" w:ascii="宋体" w:hAnsi="宋体" w:eastAsia="宋体" w:cs="宋体"/>
      <w:color w:val="000000"/>
      <w:sz w:val="22"/>
      <w:szCs w:val="22"/>
      <w:u w:val="none"/>
    </w:rPr>
  </w:style>
  <w:style w:type="character" w:styleId="1189" w:customStyle="1">
    <w:name w:val="正文文本缩进 3 Char1"/>
    <w:uiPriority w:val="0"/>
    <w:qFormat/>
    <w:rPr>
      <w:rFonts w:ascii="Calibri" w:hAnsi="Calibri" w:cs="Calibri"/>
      <w:sz w:val="16"/>
      <w:szCs w:val="16"/>
    </w:rPr>
  </w:style>
  <w:style w:type="character" w:styleId="1190" w:customStyle="1">
    <w:name w:val="font221"/>
    <w:uiPriority w:val="0"/>
    <w:qFormat/>
    <w:rPr>
      <w:rFonts w:hint="eastAsia" w:ascii="宋体" w:hAnsi="宋体" w:eastAsia="宋体" w:cs="宋体"/>
      <w:b/>
      <w:color w:val="000000"/>
      <w:sz w:val="22"/>
      <w:szCs w:val="22"/>
      <w:u w:val="none"/>
    </w:rPr>
  </w:style>
  <w:style w:type="character" w:styleId="1191" w:customStyle="1">
    <w:name w:val="Char Char"/>
    <w:uiPriority w:val="0"/>
    <w:qFormat/>
    <w:rPr>
      <w:rFonts w:hint="eastAsia" w:ascii="宋体" w:hAnsi="宋体" w:eastAsia="楷体_GB2312"/>
      <w:sz w:val="24"/>
      <w:lang w:val="en-US" w:eastAsia="zh-CN" w:bidi="ar-SA"/>
    </w:rPr>
  </w:style>
  <w:style w:type="character" w:styleId="1192" w:customStyle="1">
    <w:name w:val="批注框文本 Char"/>
    <w:uiPriority w:val="99"/>
    <w:qFormat/>
    <w:rPr>
      <w:rFonts w:hint="eastAsia" w:ascii="楷体_GB2312" w:eastAsia="楷体_GB2312"/>
      <w:sz w:val="18"/>
      <w:szCs w:val="18"/>
    </w:rPr>
  </w:style>
  <w:style w:type="character" w:styleId="1193" w:customStyle="1">
    <w:name w:val="页脚 Char1"/>
    <w:uiPriority w:val="99"/>
    <w:semiHidden/>
    <w:qFormat/>
    <w:rPr>
      <w:rFonts w:hint="eastAsia" w:ascii="楷体_GB2312" w:eastAsia="楷体_GB2312"/>
      <w:sz w:val="18"/>
      <w:szCs w:val="18"/>
    </w:rPr>
  </w:style>
  <w:style w:type="character" w:styleId="1194" w:customStyle="1">
    <w:name w:val="HTML 预设格式 Char1"/>
    <w:uiPriority w:val="0"/>
    <w:qFormat/>
    <w:rPr>
      <w:rFonts w:ascii="Courier New" w:hAnsi="Courier New" w:eastAsia="楷体_GB2312" w:cs="Courier New"/>
    </w:rPr>
  </w:style>
  <w:style w:type="character" w:styleId="1195" w:customStyle="1">
    <w:name w:val="HTML 预设格式 Char2"/>
    <w:uiPriority w:val="99"/>
    <w:semiHidden/>
    <w:qFormat/>
    <w:rPr>
      <w:rFonts w:ascii="Courier New" w:hAnsi="Courier New" w:eastAsia="楷体_GB2312" w:cs="Courier New"/>
    </w:rPr>
  </w:style>
  <w:style w:type="character" w:styleId="1196" w:customStyle="1">
    <w:name w:val="不明显强调1"/>
    <w:uiPriority w:val="19"/>
    <w:qFormat/>
    <w:rPr>
      <w:i/>
      <w:color w:val="808080"/>
    </w:rPr>
  </w:style>
  <w:style w:type="character" w:styleId="1197" w:customStyle="1">
    <w:name w:val="批注文字 Char1"/>
    <w:uiPriority w:val="99"/>
    <w:semiHidden/>
    <w:qFormat/>
    <w:rPr>
      <w:rFonts w:hint="eastAsia" w:ascii="楷体_GB2312" w:eastAsia="楷体_GB2312"/>
      <w:sz w:val="28"/>
    </w:rPr>
  </w:style>
  <w:style w:type="character" w:styleId="1198" w:customStyle="1">
    <w:name w:val="blue3"/>
    <w:uiPriority w:val="0"/>
    <w:qFormat/>
    <w:rPr>
      <w:color w:val="0000ff"/>
      <w:spacing w:val="270"/>
      <w:u w:val="none"/>
    </w:rPr>
  </w:style>
  <w:style w:type="character" w:styleId="1199" w:customStyle="1">
    <w:name w:val="纯文本 Char1"/>
    <w:uiPriority w:val="0"/>
    <w:qFormat/>
    <w:rPr>
      <w:rFonts w:hint="eastAsia" w:ascii="宋体" w:hAnsi="Courier New" w:eastAsia="宋体" w:cs="Courier New"/>
      <w:sz w:val="21"/>
      <w:szCs w:val="21"/>
    </w:rPr>
  </w:style>
  <w:style w:type="character" w:styleId="1200" w:customStyle="1">
    <w:name w:val="正文首行缩进 Char1"/>
    <w:uiPriority w:val="99"/>
    <w:qFormat/>
    <w:rPr>
      <w:rFonts w:hint="eastAsia" w:ascii="宋体" w:hAnsi="宋体" w:eastAsia="宋体" w:cs="Times New Roman"/>
      <w:sz w:val="21"/>
      <w:szCs w:val="22"/>
    </w:rPr>
  </w:style>
  <w:style w:type="character" w:styleId="1201" w:customStyle="1">
    <w:name w:val="正文缩进1 Char"/>
    <w:uiPriority w:val="0"/>
    <w:qFormat/>
    <w:rPr>
      <w:rFonts w:ascii="Times New Roman" w:hAnsi="Times New Roman" w:eastAsia="楷体_GB2312" w:cs="Times New Roman"/>
      <w:sz w:val="24"/>
      <w:szCs w:val="20"/>
    </w:rPr>
  </w:style>
  <w:style w:type="character" w:styleId="1202" w:customStyle="1">
    <w:name w:val="Char Char2"/>
    <w:uiPriority w:val="0"/>
    <w:qFormat/>
    <w:rPr>
      <w:rFonts w:hint="eastAsia" w:ascii="宋体" w:hAnsi="宋体" w:eastAsia="楷体_GB2312"/>
      <w:sz w:val="24"/>
      <w:lang w:val="en-US" w:eastAsia="zh-CN" w:bidi="ar-SA"/>
    </w:rPr>
  </w:style>
  <w:style w:type="character" w:styleId="1203" w:customStyle="1">
    <w:name w:val="样式11"/>
    <w:uiPriority w:val="0"/>
    <w:qFormat/>
    <w:rPr>
      <w:b/>
    </w:rPr>
  </w:style>
  <w:style w:type="character" w:styleId="1204" w:customStyle="1">
    <w:name w:val="正文缩进1 Char1"/>
    <w:uiPriority w:val="0"/>
    <w:qFormat/>
    <w:rPr>
      <w:rFonts w:hint="eastAsia" w:ascii="楷体_GB2312" w:eastAsia="楷体_GB2312"/>
      <w:sz w:val="24"/>
      <w:lang w:val="en-US" w:eastAsia="zh-CN" w:bidi="ar-SA"/>
    </w:rPr>
  </w:style>
  <w:style w:type="character" w:styleId="1205" w:customStyle="1">
    <w:name w:val="a"/>
    <w:uiPriority w:val="0"/>
    <w:qFormat/>
  </w:style>
  <w:style w:type="table" w:styleId="1206" w:customStyle="1">
    <w:name w:val="网格型4"/>
    <w:basedOn w:val="701"/>
    <w:uiPriority w:val="59"/>
    <w:qFormat/>
    <w:rPr>
      <w:rFonts w:ascii="Calibri" w:hAnsi="Calibri"/>
    </w:rPr>
    <w:tblPr/>
  </w:style>
  <w:style w:type="table" w:styleId="1207" w:customStyle="1">
    <w:name w:val="网格型3"/>
    <w:basedOn w:val="701"/>
    <w:uiPriority w:val="59"/>
    <w:qFormat/>
    <w:pPr>
      <w:jc w:val="both"/>
      <w:widowControl w:val="off"/>
    </w:pPr>
    <w:rPr>
      <w:rFonts w:ascii="Calibri" w:hAnsi="Calibri"/>
    </w:rPr>
    <w:tblPr/>
  </w:style>
  <w:style w:type="table" w:styleId="1208" w:customStyle="1">
    <w:name w:val="网格型1"/>
    <w:basedOn w:val="701"/>
    <w:uiPriority w:val="0"/>
    <w:qFormat/>
    <w:rPr>
      <w:rFonts w:ascii="Calibri" w:hAnsi="Calibri"/>
    </w:rPr>
    <w:tblPr/>
  </w:style>
  <w:style w:type="table" w:styleId="1209" w:customStyle="1">
    <w:name w:val="网格型2"/>
    <w:basedOn w:val="701"/>
    <w:uiPriority w:val="59"/>
    <w:qFormat/>
    <w:pPr>
      <w:jc w:val="both"/>
      <w:widowControl w:val="off"/>
    </w:pPr>
    <w:rPr>
      <w:rFonts w:ascii="Calibri" w:hAnsi="Calibri"/>
    </w:rPr>
    <w:tblPr/>
  </w:style>
  <w:style w:type="character" w:styleId="1210" w:customStyle="1">
    <w:name w:val="列表段落 字符"/>
    <w:link w:val="1211"/>
    <w:uiPriority w:val="0"/>
    <w:qFormat/>
    <w:rPr>
      <w:sz w:val="21"/>
    </w:rPr>
  </w:style>
  <w:style w:type="paragraph" w:styleId="1211" w:customStyle="1">
    <w:name w:val="列表段落"/>
    <w:basedOn w:val="690"/>
    <w:link w:val="1210"/>
    <w:uiPriority w:val="0"/>
    <w:qFormat/>
    <w:pPr>
      <w:ind w:firstLine="420"/>
      <w:spacing w:line="360" w:lineRule="auto"/>
    </w:pPr>
    <w:rPr>
      <w:rFonts w:eastAsia="宋体"/>
      <w:sz w:val="21"/>
    </w:rPr>
  </w:style>
  <w:style w:type="numbering" w:styleId="12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刘露冰杰</cp:lastModifiedBy>
  <cp:revision>93</cp:revision>
  <dcterms:created xsi:type="dcterms:W3CDTF">2024-09-18T02:29:00Z</dcterms:created>
  <dcterms:modified xsi:type="dcterms:W3CDTF">2025-12-16T09:19:26Z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eyJoZGlkIjoiYzg4MzkzZDU0NzY0YWI4MDc3ODRlZDBkNDM4ZGY4ZWYiLCJ1c2VySWQiOiI2Nzg1NjMyNzcifQ==</vt:lpwstr>
  </property>
  <property fmtid="{D5CDD505-2E9C-101B-9397-08002B2CF9AE}" pid="3" name="KSOProductBuildVer">
    <vt:lpwstr>2052-12.1.0.24034</vt:lpwstr>
  </property>
  <property fmtid="{D5CDD505-2E9C-101B-9397-08002B2CF9AE}" pid="4" name="ICV">
    <vt:lpwstr>C5AB699A19D14DFE87F1D355F1283821_12</vt:lpwstr>
  </property>
</Properties>
</file>